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5C2356">
      <w:pPr>
        <w:widowControl/>
        <w:shd w:val="clear" w:color="auto" w:fill="FFFFFF"/>
        <w:spacing w:line="360" w:lineRule="auto"/>
        <w:jc w:val="left"/>
        <w:textAlignment w:val="baseline"/>
        <w:rPr>
          <w:rFonts w:hint="eastAsia" w:cs="Times New Roman" w:asciiTheme="minorEastAsia" w:hAnsiTheme="minorEastAsia"/>
          <w:color w:val="000000"/>
          <w:kern w:val="0"/>
          <w:sz w:val="30"/>
          <w:szCs w:val="30"/>
          <w:shd w:val="clear" w:color="auto" w:fill="FFFFFF"/>
          <w:lang w:val="en-US" w:eastAsia="zh-CN"/>
        </w:rPr>
      </w:pPr>
      <w:r>
        <w:rPr>
          <w:rFonts w:hint="eastAsia" w:cs="Times New Roman" w:asciiTheme="minorEastAsia" w:hAnsiTheme="minorEastAsia"/>
          <w:b/>
          <w:color w:val="000000"/>
          <w:kern w:val="0"/>
          <w:sz w:val="30"/>
          <w:szCs w:val="30"/>
          <w:shd w:val="clear" w:color="auto" w:fill="FFFFFF"/>
        </w:rPr>
        <w:t>附件1：采购</w:t>
      </w:r>
      <w:r>
        <w:rPr>
          <w:rFonts w:hint="eastAsia" w:cs="Times New Roman" w:asciiTheme="minorEastAsia" w:hAnsiTheme="minorEastAsia"/>
          <w:b/>
          <w:color w:val="000000"/>
          <w:kern w:val="0"/>
          <w:sz w:val="30"/>
          <w:szCs w:val="30"/>
          <w:shd w:val="clear" w:color="auto" w:fill="FFFFFF"/>
          <w:lang w:val="en-US" w:eastAsia="zh-CN"/>
        </w:rPr>
        <w:t>内容描述</w:t>
      </w:r>
    </w:p>
    <w:p w14:paraId="05456418">
      <w:pPr>
        <w:numPr>
          <w:ilvl w:val="0"/>
          <w:numId w:val="1"/>
        </w:numPr>
        <w:spacing w:before="156" w:beforeLines="50" w:after="156" w:afterLines="50" w:line="54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升级加固方案</w:t>
      </w:r>
    </w:p>
    <w:p w14:paraId="521D9062">
      <w:pPr>
        <w:spacing w:line="540" w:lineRule="exact"/>
        <w:ind w:firstLine="640" w:firstLineChars="200"/>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此次通导平台二级等保安全加固内容包括：购买</w:t>
      </w:r>
      <w:r>
        <w:rPr>
          <w:rFonts w:hint="eastAsia" w:ascii="仿宋_GB2312" w:hAnsi="仿宋_GB2312" w:eastAsia="仿宋_GB2312" w:cs="仿宋_GB2312"/>
          <w:kern w:val="0"/>
          <w:sz w:val="32"/>
          <w:szCs w:val="32"/>
          <w:shd w:val="clear" w:color="auto" w:fill="FFFFFF"/>
          <w:lang w:val="en-US" w:eastAsia="zh-CN" w:bidi="ar"/>
        </w:rPr>
        <w:t>核心三层交换机、</w:t>
      </w:r>
      <w:r>
        <w:rPr>
          <w:rFonts w:hint="eastAsia" w:ascii="仿宋_GB2312" w:hAnsi="仿宋_GB2312" w:eastAsia="仿宋_GB2312" w:cs="仿宋_GB2312"/>
          <w:kern w:val="0"/>
          <w:sz w:val="32"/>
          <w:szCs w:val="32"/>
          <w:shd w:val="clear" w:color="auto" w:fill="FFFFFF"/>
          <w:lang w:bidi="ar"/>
        </w:rPr>
        <w:t>新一代防火墙、加强网路攻击主动防御、增添平台运维审计和数据审计设备、升级杀毒软件、为已有的安全设备续保，最后进行平台安全测评，并取得网安部门的等保备案证明。</w:t>
      </w:r>
    </w:p>
    <w:p w14:paraId="5338EB1F">
      <w:pPr>
        <w:numPr>
          <w:ilvl w:val="0"/>
          <w:numId w:val="2"/>
        </w:numPr>
        <w:spacing w:line="540" w:lineRule="exact"/>
        <w:ind w:firstLine="640"/>
        <w:rPr>
          <w:rFonts w:hint="eastAsia" w:ascii="楷体_GB2312" w:hAnsi="楷体_GB2312" w:eastAsia="楷体_GB2312" w:cs="楷体_GB2312"/>
          <w:kern w:val="0"/>
          <w:sz w:val="32"/>
          <w:szCs w:val="32"/>
          <w:shd w:val="clear" w:color="auto" w:fill="FFFFFF"/>
          <w:lang w:bidi="ar"/>
        </w:rPr>
      </w:pPr>
      <w:r>
        <w:rPr>
          <w:rFonts w:hint="eastAsia" w:ascii="楷体_GB2312" w:hAnsi="楷体_GB2312" w:eastAsia="楷体_GB2312" w:cs="楷体_GB2312"/>
          <w:kern w:val="0"/>
          <w:sz w:val="32"/>
          <w:szCs w:val="32"/>
          <w:shd w:val="clear" w:color="auto" w:fill="FFFFFF"/>
          <w:lang w:bidi="ar"/>
        </w:rPr>
        <w:t>防火墙</w:t>
      </w:r>
    </w:p>
    <w:p w14:paraId="49A0F734">
      <w:pPr>
        <w:spacing w:line="540" w:lineRule="exact"/>
        <w:ind w:firstLine="640" w:firstLineChars="200"/>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通导平台原有的2台防火墙为2018年购买，经专业信息安全保障服务公司测评，因设备老旧和平台出口流量增加，已满足不了安全需求。需采购新一代防火墙设备，更有效抵御网络病毒攻击。</w:t>
      </w:r>
    </w:p>
    <w:p w14:paraId="3F3851CB">
      <w:pPr>
        <w:numPr>
          <w:ilvl w:val="0"/>
          <w:numId w:val="2"/>
        </w:numPr>
        <w:spacing w:line="540" w:lineRule="exact"/>
        <w:ind w:firstLine="640"/>
        <w:rPr>
          <w:rFonts w:hint="eastAsia" w:ascii="楷体_GB2312" w:hAnsi="楷体_GB2312" w:eastAsia="楷体_GB2312" w:cs="楷体_GB2312"/>
          <w:kern w:val="0"/>
          <w:sz w:val="32"/>
          <w:szCs w:val="32"/>
          <w:shd w:val="clear" w:color="auto" w:fill="FFFFFF"/>
          <w:lang w:bidi="ar"/>
        </w:rPr>
      </w:pPr>
      <w:r>
        <w:rPr>
          <w:rFonts w:hint="eastAsia" w:ascii="楷体_GB2312" w:hAnsi="楷体_GB2312" w:eastAsia="楷体_GB2312" w:cs="楷体_GB2312"/>
          <w:kern w:val="0"/>
          <w:sz w:val="32"/>
          <w:szCs w:val="32"/>
          <w:shd w:val="clear" w:color="auto" w:fill="FFFFFF"/>
          <w:lang w:bidi="ar"/>
        </w:rPr>
        <w:t>病毒主动检测</w:t>
      </w:r>
    </w:p>
    <w:p w14:paraId="6EA6B2A8">
      <w:pPr>
        <w:tabs>
          <w:tab w:val="left" w:pos="0"/>
        </w:tabs>
        <w:spacing w:line="540" w:lineRule="exact"/>
        <w:ind w:firstLine="419" w:firstLineChars="131"/>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 xml:space="preserve"> 该安全设备能够主动实现对木马、僵尸网络等攻击行为的高精度检测，并联动防火墙实现安全阻断功能；可对网络攻击及时告警并进行处置；及时发现网络中的异常事件，实时掌握平台运行网络整体安全态势，聚合告警信息结合数据包进行追踪溯源，降低网络安全风险，提高网络安全防护能力。</w:t>
      </w:r>
    </w:p>
    <w:p w14:paraId="0C20D60A">
      <w:pPr>
        <w:numPr>
          <w:ilvl w:val="0"/>
          <w:numId w:val="2"/>
        </w:numPr>
        <w:spacing w:line="540" w:lineRule="exact"/>
        <w:ind w:firstLine="640"/>
        <w:rPr>
          <w:rFonts w:hint="eastAsia" w:ascii="楷体_GB2312" w:hAnsi="楷体_GB2312" w:eastAsia="楷体_GB2312" w:cs="楷体_GB2312"/>
          <w:kern w:val="0"/>
          <w:sz w:val="32"/>
          <w:szCs w:val="32"/>
          <w:shd w:val="clear" w:color="auto" w:fill="FFFFFF"/>
          <w:lang w:bidi="ar"/>
        </w:rPr>
      </w:pPr>
      <w:r>
        <w:rPr>
          <w:rFonts w:hint="eastAsia" w:ascii="楷体_GB2312" w:hAnsi="楷体_GB2312" w:eastAsia="楷体_GB2312" w:cs="楷体_GB2312"/>
          <w:kern w:val="0"/>
          <w:sz w:val="32"/>
          <w:szCs w:val="32"/>
          <w:shd w:val="clear" w:color="auto" w:fill="FFFFFF"/>
          <w:lang w:bidi="ar"/>
        </w:rPr>
        <w:t>运维审计（堡垒系统）</w:t>
      </w:r>
    </w:p>
    <w:p w14:paraId="62BFEC9C">
      <w:pPr>
        <w:tabs>
          <w:tab w:val="left" w:pos="0"/>
        </w:tabs>
        <w:spacing w:line="540" w:lineRule="exact"/>
        <w:ind w:firstLine="640" w:firstLineChars="200"/>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堡垒系统在运维人员和信息系统（网络、主机、数据库、应用等）之间搭建一个唯一的入口和统一的交互界面，运维人员对系统的所有操作，包括登录、访问数据、访问设备等必须经过堡垒系统授权，通过统一的界面进行操作，堡垒系统自动对以上行为进行全程记录，实现操作可追溯，防止未经授权的访问和登录，保护系统安全。</w:t>
      </w:r>
    </w:p>
    <w:p w14:paraId="77E5189A">
      <w:pPr>
        <w:numPr>
          <w:ilvl w:val="0"/>
          <w:numId w:val="2"/>
        </w:numPr>
        <w:spacing w:line="540" w:lineRule="exact"/>
        <w:ind w:firstLine="640"/>
        <w:rPr>
          <w:rFonts w:hint="eastAsia" w:ascii="楷体_GB2312" w:hAnsi="楷体_GB2312" w:eastAsia="楷体_GB2312" w:cs="楷体_GB2312"/>
          <w:kern w:val="0"/>
          <w:sz w:val="32"/>
          <w:szCs w:val="32"/>
          <w:shd w:val="clear" w:color="auto" w:fill="FFFFFF"/>
          <w:lang w:bidi="ar"/>
        </w:rPr>
      </w:pPr>
      <w:r>
        <w:rPr>
          <w:rFonts w:hint="eastAsia" w:ascii="楷体_GB2312" w:hAnsi="楷体_GB2312" w:eastAsia="楷体_GB2312" w:cs="楷体_GB2312"/>
          <w:kern w:val="0"/>
          <w:sz w:val="32"/>
          <w:szCs w:val="32"/>
          <w:shd w:val="clear" w:color="auto" w:fill="FFFFFF"/>
          <w:lang w:bidi="ar"/>
        </w:rPr>
        <w:t>数据库审计</w:t>
      </w:r>
    </w:p>
    <w:p w14:paraId="2AEDB66C">
      <w:pPr>
        <w:tabs>
          <w:tab w:val="left" w:pos="0"/>
        </w:tabs>
        <w:spacing w:line="540" w:lineRule="exact"/>
        <w:ind w:firstLine="640" w:firstLineChars="200"/>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数据库审计设备能够精准识别并审计主流数据库。该设备通过内置数据库安全规则库、URL分类库，以及根据业务特点定制的自定义规则库，对数据库访问信息进行审计，检测出其中可能存在的对数据的异常操作或恶意篡改行为，并进行报警，实现对违规行为的跟踪分析、安全事件实时报警。</w:t>
      </w:r>
    </w:p>
    <w:p w14:paraId="7C7C050D">
      <w:pPr>
        <w:numPr>
          <w:ilvl w:val="0"/>
          <w:numId w:val="2"/>
        </w:numPr>
        <w:spacing w:line="540" w:lineRule="exact"/>
        <w:ind w:firstLine="640"/>
        <w:rPr>
          <w:rFonts w:hint="eastAsia" w:ascii="楷体_GB2312" w:hAnsi="楷体_GB2312" w:eastAsia="楷体_GB2312" w:cs="楷体_GB2312"/>
          <w:kern w:val="0"/>
          <w:sz w:val="32"/>
          <w:szCs w:val="32"/>
          <w:shd w:val="clear" w:color="auto" w:fill="FFFFFF"/>
          <w:lang w:bidi="ar"/>
        </w:rPr>
      </w:pPr>
      <w:r>
        <w:rPr>
          <w:rFonts w:hint="eastAsia" w:ascii="楷体_GB2312" w:hAnsi="楷体_GB2312" w:eastAsia="楷体_GB2312" w:cs="楷体_GB2312"/>
          <w:kern w:val="0"/>
          <w:sz w:val="32"/>
          <w:szCs w:val="32"/>
          <w:shd w:val="clear" w:color="auto" w:fill="FFFFFF"/>
          <w:lang w:bidi="ar"/>
        </w:rPr>
        <w:t>杀毒软件</w:t>
      </w:r>
    </w:p>
    <w:p w14:paraId="3CDAD04A">
      <w:pPr>
        <w:tabs>
          <w:tab w:val="left" w:pos="0"/>
        </w:tabs>
        <w:spacing w:line="540" w:lineRule="exact"/>
        <w:ind w:firstLine="640" w:firstLineChars="200"/>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杀毒软件分别部署在通导平台服务器端和值班中心值班所有值班机上，执行最终的杀毒扫描、漏洞修复等安全操作，解决服务器被病毒感染的问题，并向管理中心发送相应的安全日志。</w:t>
      </w:r>
    </w:p>
    <w:p w14:paraId="3175776F">
      <w:pPr>
        <w:numPr>
          <w:ilvl w:val="0"/>
          <w:numId w:val="2"/>
        </w:numPr>
        <w:spacing w:line="540" w:lineRule="exact"/>
        <w:ind w:firstLine="640"/>
        <w:rPr>
          <w:rFonts w:hint="eastAsia" w:ascii="楷体_GB2312" w:hAnsi="楷体_GB2312" w:eastAsia="楷体_GB2312" w:cs="楷体_GB2312"/>
          <w:kern w:val="0"/>
          <w:sz w:val="32"/>
          <w:szCs w:val="32"/>
          <w:shd w:val="clear" w:color="auto" w:fill="FFFFFF"/>
          <w:lang w:bidi="ar"/>
        </w:rPr>
      </w:pPr>
      <w:r>
        <w:rPr>
          <w:rFonts w:hint="eastAsia" w:ascii="楷体_GB2312" w:hAnsi="楷体_GB2312" w:eastAsia="楷体_GB2312" w:cs="楷体_GB2312"/>
          <w:kern w:val="0"/>
          <w:sz w:val="32"/>
          <w:szCs w:val="32"/>
          <w:shd w:val="clear" w:color="auto" w:fill="FFFFFF"/>
          <w:lang w:bidi="ar"/>
        </w:rPr>
        <w:t>已有设备续保服务</w:t>
      </w:r>
    </w:p>
    <w:p w14:paraId="02739AEB">
      <w:pPr>
        <w:tabs>
          <w:tab w:val="left" w:pos="0"/>
        </w:tabs>
        <w:spacing w:line="540" w:lineRule="exact"/>
        <w:ind w:firstLine="640" w:firstLineChars="200"/>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2020年8月通导平台第一次等保建设时，购买了WAF（</w:t>
      </w:r>
      <w:r>
        <w:rPr>
          <w:rFonts w:hint="eastAsia" w:ascii="仿宋_GB2312" w:hAnsi="仿宋_GB2312" w:eastAsia="仿宋_GB2312" w:cs="仿宋_GB2312"/>
          <w:kern w:val="0"/>
          <w:sz w:val="32"/>
          <w:szCs w:val="32"/>
          <w:shd w:val="clear" w:color="auto" w:fill="FFFFFF"/>
          <w:lang w:val="zh-CN" w:bidi="ar"/>
        </w:rPr>
        <w:t>web应用防护系统</w:t>
      </w:r>
      <w:r>
        <w:rPr>
          <w:rFonts w:hint="eastAsia" w:ascii="仿宋_GB2312" w:hAnsi="仿宋_GB2312" w:eastAsia="仿宋_GB2312" w:cs="仿宋_GB2312"/>
          <w:kern w:val="0"/>
          <w:sz w:val="32"/>
          <w:szCs w:val="32"/>
          <w:shd w:val="clear" w:color="auto" w:fill="FFFFFF"/>
          <w:lang w:bidi="ar"/>
        </w:rPr>
        <w:t>）、UAG（上网行为管理）、IPS（</w:t>
      </w:r>
      <w:r>
        <w:rPr>
          <w:rFonts w:hint="eastAsia" w:ascii="仿宋_GB2312" w:hAnsi="仿宋_GB2312" w:eastAsia="仿宋_GB2312" w:cs="仿宋_GB2312"/>
          <w:kern w:val="0"/>
          <w:sz w:val="32"/>
          <w:szCs w:val="32"/>
          <w:shd w:val="clear" w:color="auto" w:fill="FFFFFF"/>
          <w:lang w:val="zh-CN" w:bidi="ar"/>
        </w:rPr>
        <w:t>入侵防御系统</w:t>
      </w:r>
      <w:r>
        <w:rPr>
          <w:rFonts w:hint="eastAsia" w:ascii="仿宋_GB2312" w:hAnsi="仿宋_GB2312" w:eastAsia="仿宋_GB2312" w:cs="仿宋_GB2312"/>
          <w:kern w:val="0"/>
          <w:sz w:val="32"/>
          <w:szCs w:val="32"/>
          <w:shd w:val="clear" w:color="auto" w:fill="FFFFFF"/>
          <w:lang w:bidi="ar"/>
        </w:rPr>
        <w:t>）设备及相应的设备特征库、规则库，有效期为三年。此次加固建设，该三台设备仍然保留使用，但需续费购买新的特征库、规则库，有效期三年，清单如下:</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1"/>
        <w:gridCol w:w="1998"/>
        <w:gridCol w:w="1207"/>
        <w:gridCol w:w="3716"/>
      </w:tblGrid>
      <w:tr w14:paraId="6563D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1" w:type="dxa"/>
          </w:tcPr>
          <w:p w14:paraId="280AE8B0">
            <w:pPr>
              <w:jc w:val="center"/>
              <w:rPr>
                <w:rFonts w:ascii="仿宋_GB2312" w:hAnsi="仿宋_GB2312" w:eastAsia="仿宋_GB2312" w:cs="仿宋_GB2312"/>
                <w:b/>
                <w:bCs/>
                <w:kern w:val="0"/>
                <w:sz w:val="28"/>
                <w:szCs w:val="28"/>
                <w:shd w:val="clear" w:color="auto" w:fill="FFFFFF"/>
                <w:lang w:bidi="ar"/>
              </w:rPr>
            </w:pPr>
            <w:r>
              <w:rPr>
                <w:rFonts w:hint="eastAsia" w:ascii="仿宋_GB2312" w:hAnsi="仿宋_GB2312" w:eastAsia="仿宋_GB2312" w:cs="仿宋_GB2312"/>
                <w:b/>
                <w:bCs/>
                <w:kern w:val="0"/>
                <w:sz w:val="28"/>
                <w:szCs w:val="28"/>
                <w:shd w:val="clear" w:color="auto" w:fill="FFFFFF"/>
                <w:lang w:bidi="ar"/>
              </w:rPr>
              <w:t>设备名称</w:t>
            </w:r>
          </w:p>
        </w:tc>
        <w:tc>
          <w:tcPr>
            <w:tcW w:w="1998" w:type="dxa"/>
          </w:tcPr>
          <w:p w14:paraId="458D6E13">
            <w:pPr>
              <w:jc w:val="center"/>
              <w:rPr>
                <w:rFonts w:ascii="仿宋_GB2312" w:hAnsi="仿宋_GB2312" w:eastAsia="仿宋_GB2312" w:cs="仿宋_GB2312"/>
                <w:b/>
                <w:bCs/>
                <w:kern w:val="0"/>
                <w:sz w:val="28"/>
                <w:szCs w:val="28"/>
                <w:shd w:val="clear" w:color="auto" w:fill="FFFFFF"/>
                <w:lang w:bidi="ar"/>
              </w:rPr>
            </w:pPr>
            <w:r>
              <w:rPr>
                <w:rFonts w:hint="eastAsia" w:ascii="仿宋_GB2312" w:hAnsi="仿宋_GB2312" w:eastAsia="仿宋_GB2312" w:cs="仿宋_GB2312"/>
                <w:b/>
                <w:bCs/>
                <w:kern w:val="0"/>
                <w:sz w:val="28"/>
                <w:szCs w:val="28"/>
                <w:shd w:val="clear" w:color="auto" w:fill="FFFFFF"/>
                <w:lang w:bidi="ar"/>
              </w:rPr>
              <w:t>型号</w:t>
            </w:r>
          </w:p>
        </w:tc>
        <w:tc>
          <w:tcPr>
            <w:tcW w:w="1207" w:type="dxa"/>
          </w:tcPr>
          <w:p w14:paraId="5DC499FB">
            <w:pPr>
              <w:jc w:val="center"/>
              <w:rPr>
                <w:rFonts w:ascii="仿宋_GB2312" w:hAnsi="仿宋_GB2312" w:eastAsia="仿宋_GB2312" w:cs="仿宋_GB2312"/>
                <w:b/>
                <w:bCs/>
                <w:kern w:val="0"/>
                <w:sz w:val="28"/>
                <w:szCs w:val="28"/>
                <w:shd w:val="clear" w:color="auto" w:fill="FFFFFF"/>
                <w:lang w:bidi="ar"/>
              </w:rPr>
            </w:pPr>
            <w:r>
              <w:rPr>
                <w:rFonts w:hint="eastAsia" w:ascii="仿宋_GB2312" w:hAnsi="仿宋_GB2312" w:eastAsia="仿宋_GB2312" w:cs="仿宋_GB2312"/>
                <w:b/>
                <w:bCs/>
                <w:kern w:val="0"/>
                <w:sz w:val="28"/>
                <w:szCs w:val="28"/>
                <w:shd w:val="clear" w:color="auto" w:fill="FFFFFF"/>
                <w:lang w:bidi="ar"/>
              </w:rPr>
              <w:t>厂商</w:t>
            </w:r>
          </w:p>
        </w:tc>
        <w:tc>
          <w:tcPr>
            <w:tcW w:w="3716" w:type="dxa"/>
          </w:tcPr>
          <w:p w14:paraId="5A540C2C">
            <w:pPr>
              <w:jc w:val="center"/>
              <w:rPr>
                <w:rFonts w:ascii="仿宋_GB2312" w:hAnsi="仿宋_GB2312" w:eastAsia="仿宋_GB2312" w:cs="仿宋_GB2312"/>
                <w:b/>
                <w:bCs/>
                <w:kern w:val="0"/>
                <w:sz w:val="28"/>
                <w:szCs w:val="28"/>
                <w:shd w:val="clear" w:color="auto" w:fill="FFFFFF"/>
                <w:lang w:bidi="ar"/>
              </w:rPr>
            </w:pPr>
            <w:r>
              <w:rPr>
                <w:rFonts w:hint="eastAsia" w:ascii="仿宋_GB2312" w:hAnsi="仿宋_GB2312" w:eastAsia="仿宋_GB2312" w:cs="仿宋_GB2312"/>
                <w:b/>
                <w:bCs/>
                <w:kern w:val="0"/>
                <w:sz w:val="28"/>
                <w:szCs w:val="28"/>
                <w:shd w:val="clear" w:color="auto" w:fill="FFFFFF"/>
                <w:lang w:bidi="ar"/>
              </w:rPr>
              <w:t>序列号</w:t>
            </w:r>
          </w:p>
        </w:tc>
      </w:tr>
      <w:tr w14:paraId="45177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1" w:type="dxa"/>
            <w:vAlign w:val="center"/>
          </w:tcPr>
          <w:p w14:paraId="41B93F5E">
            <w:pPr>
              <w:jc w:val="center"/>
              <w:rPr>
                <w:rFonts w:ascii="仿宋_GB2312" w:hAnsi="仿宋_GB2312" w:eastAsia="仿宋_GB2312" w:cs="仿宋_GB2312"/>
                <w:kern w:val="0"/>
                <w:sz w:val="28"/>
                <w:szCs w:val="28"/>
                <w:shd w:val="clear" w:color="auto" w:fill="FFFFFF"/>
                <w:lang w:bidi="ar"/>
              </w:rPr>
            </w:pPr>
            <w:r>
              <w:rPr>
                <w:rFonts w:hint="eastAsia" w:ascii="仿宋_GB2312" w:hAnsi="仿宋_GB2312" w:eastAsia="仿宋_GB2312" w:cs="仿宋_GB2312"/>
                <w:kern w:val="0"/>
                <w:sz w:val="28"/>
                <w:szCs w:val="28"/>
                <w:shd w:val="clear" w:color="auto" w:fill="FFFFFF"/>
                <w:lang w:bidi="ar"/>
              </w:rPr>
              <w:t>WAF</w:t>
            </w:r>
          </w:p>
        </w:tc>
        <w:tc>
          <w:tcPr>
            <w:tcW w:w="1998" w:type="dxa"/>
            <w:vAlign w:val="center"/>
          </w:tcPr>
          <w:p w14:paraId="7AC0C81F">
            <w:pPr>
              <w:spacing w:line="360" w:lineRule="exact"/>
              <w:jc w:val="center"/>
              <w:rPr>
                <w:rFonts w:ascii="仿宋_GB2312" w:hAnsi="仿宋_GB2312" w:eastAsia="仿宋_GB2312" w:cs="仿宋_GB2312"/>
                <w:kern w:val="0"/>
                <w:sz w:val="28"/>
                <w:szCs w:val="28"/>
                <w:shd w:val="clear" w:color="auto" w:fill="FFFFFF"/>
                <w:lang w:bidi="ar"/>
              </w:rPr>
            </w:pPr>
            <w:r>
              <w:rPr>
                <w:rFonts w:hint="eastAsia" w:ascii="仿宋_GB2312" w:hAnsi="仿宋_GB2312" w:eastAsia="仿宋_GB2312" w:cs="仿宋_GB2312"/>
                <w:kern w:val="0"/>
                <w:sz w:val="28"/>
                <w:szCs w:val="28"/>
                <w:shd w:val="clear" w:color="auto" w:fill="FFFFFF"/>
                <w:lang w:bidi="ar"/>
              </w:rPr>
              <w:t>DPtech WAF3000-ME-X</w:t>
            </w:r>
          </w:p>
        </w:tc>
        <w:tc>
          <w:tcPr>
            <w:tcW w:w="1207" w:type="dxa"/>
            <w:vAlign w:val="center"/>
          </w:tcPr>
          <w:p w14:paraId="50CA3855">
            <w:pPr>
              <w:jc w:val="center"/>
              <w:rPr>
                <w:rFonts w:ascii="仿宋_GB2312" w:hAnsi="仿宋_GB2312" w:eastAsia="仿宋_GB2312" w:cs="仿宋_GB2312"/>
                <w:kern w:val="0"/>
                <w:sz w:val="28"/>
                <w:szCs w:val="28"/>
                <w:shd w:val="clear" w:color="auto" w:fill="FFFFFF"/>
                <w:lang w:bidi="ar"/>
              </w:rPr>
            </w:pPr>
            <w:r>
              <w:rPr>
                <w:rFonts w:hint="eastAsia" w:ascii="仿宋_GB2312" w:hAnsi="仿宋_GB2312" w:eastAsia="仿宋_GB2312" w:cs="仿宋_GB2312"/>
                <w:kern w:val="0"/>
                <w:sz w:val="28"/>
                <w:szCs w:val="28"/>
                <w:shd w:val="clear" w:color="auto" w:fill="FFFFFF"/>
                <w:lang w:bidi="ar"/>
              </w:rPr>
              <w:t>迪普</w:t>
            </w:r>
          </w:p>
        </w:tc>
        <w:tc>
          <w:tcPr>
            <w:tcW w:w="3716" w:type="dxa"/>
            <w:vAlign w:val="center"/>
          </w:tcPr>
          <w:p w14:paraId="78E00472">
            <w:pPr>
              <w:jc w:val="center"/>
              <w:rPr>
                <w:rFonts w:ascii="仿宋_GB2312" w:hAnsi="仿宋_GB2312" w:eastAsia="仿宋_GB2312" w:cs="仿宋_GB2312"/>
                <w:kern w:val="0"/>
                <w:sz w:val="28"/>
                <w:szCs w:val="28"/>
                <w:shd w:val="clear" w:color="auto" w:fill="FFFFFF"/>
                <w:lang w:bidi="ar"/>
              </w:rPr>
            </w:pPr>
            <w:r>
              <w:rPr>
                <w:rFonts w:hint="eastAsia" w:ascii="仿宋_GB2312" w:hAnsi="仿宋_GB2312" w:eastAsia="仿宋_GB2312" w:cs="仿宋_GB2312"/>
                <w:kern w:val="0"/>
                <w:sz w:val="28"/>
                <w:szCs w:val="28"/>
                <w:shd w:val="clear" w:color="auto" w:fill="FFFFFF"/>
                <w:lang w:bidi="ar"/>
              </w:rPr>
              <w:t>02051148D206000008</w:t>
            </w:r>
          </w:p>
        </w:tc>
      </w:tr>
      <w:tr w14:paraId="7EC08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1" w:type="dxa"/>
            <w:vAlign w:val="center"/>
          </w:tcPr>
          <w:p w14:paraId="2FF0C7A3">
            <w:pPr>
              <w:jc w:val="center"/>
              <w:rPr>
                <w:rFonts w:ascii="仿宋_GB2312" w:hAnsi="仿宋_GB2312" w:eastAsia="仿宋_GB2312" w:cs="仿宋_GB2312"/>
                <w:kern w:val="0"/>
                <w:sz w:val="28"/>
                <w:szCs w:val="28"/>
                <w:shd w:val="clear" w:color="auto" w:fill="FFFFFF"/>
                <w:lang w:bidi="ar"/>
              </w:rPr>
            </w:pPr>
            <w:r>
              <w:rPr>
                <w:rFonts w:hint="eastAsia" w:ascii="仿宋_GB2312" w:hAnsi="仿宋_GB2312" w:eastAsia="仿宋_GB2312" w:cs="仿宋_GB2312"/>
                <w:kern w:val="0"/>
                <w:sz w:val="28"/>
                <w:szCs w:val="28"/>
                <w:shd w:val="clear" w:color="auto" w:fill="FFFFFF"/>
                <w:lang w:bidi="ar"/>
              </w:rPr>
              <w:t>UAG</w:t>
            </w:r>
          </w:p>
        </w:tc>
        <w:tc>
          <w:tcPr>
            <w:tcW w:w="1998" w:type="dxa"/>
            <w:vAlign w:val="center"/>
          </w:tcPr>
          <w:p w14:paraId="43277FFF">
            <w:pPr>
              <w:spacing w:line="360" w:lineRule="exact"/>
              <w:jc w:val="center"/>
              <w:rPr>
                <w:rFonts w:ascii="仿宋_GB2312" w:hAnsi="仿宋_GB2312" w:eastAsia="仿宋_GB2312" w:cs="仿宋_GB2312"/>
                <w:kern w:val="0"/>
                <w:sz w:val="28"/>
                <w:szCs w:val="28"/>
                <w:shd w:val="clear" w:color="auto" w:fill="FFFFFF"/>
                <w:lang w:bidi="ar"/>
              </w:rPr>
            </w:pPr>
            <w:r>
              <w:rPr>
                <w:rFonts w:hint="eastAsia" w:ascii="仿宋_GB2312" w:hAnsi="仿宋_GB2312" w:eastAsia="仿宋_GB2312" w:cs="仿宋_GB2312"/>
                <w:kern w:val="0"/>
                <w:sz w:val="28"/>
                <w:szCs w:val="28"/>
                <w:shd w:val="clear" w:color="auto" w:fill="FFFFFF"/>
                <w:lang w:bidi="ar"/>
              </w:rPr>
              <w:t>DPtech WAF3000-ME-X</w:t>
            </w:r>
          </w:p>
        </w:tc>
        <w:tc>
          <w:tcPr>
            <w:tcW w:w="1207" w:type="dxa"/>
            <w:vAlign w:val="center"/>
          </w:tcPr>
          <w:p w14:paraId="5D6633ED">
            <w:pPr>
              <w:jc w:val="center"/>
              <w:rPr>
                <w:rFonts w:ascii="仿宋_GB2312" w:hAnsi="仿宋_GB2312" w:eastAsia="仿宋_GB2312" w:cs="仿宋_GB2312"/>
                <w:kern w:val="0"/>
                <w:sz w:val="28"/>
                <w:szCs w:val="28"/>
                <w:shd w:val="clear" w:color="auto" w:fill="FFFFFF"/>
                <w:lang w:bidi="ar"/>
              </w:rPr>
            </w:pPr>
            <w:r>
              <w:rPr>
                <w:rFonts w:hint="eastAsia" w:ascii="仿宋_GB2312" w:hAnsi="仿宋_GB2312" w:eastAsia="仿宋_GB2312" w:cs="仿宋_GB2312"/>
                <w:kern w:val="0"/>
                <w:sz w:val="28"/>
                <w:szCs w:val="28"/>
                <w:shd w:val="clear" w:color="auto" w:fill="FFFFFF"/>
                <w:lang w:bidi="ar"/>
              </w:rPr>
              <w:t>迪普</w:t>
            </w:r>
          </w:p>
        </w:tc>
        <w:tc>
          <w:tcPr>
            <w:tcW w:w="3716" w:type="dxa"/>
            <w:vAlign w:val="center"/>
          </w:tcPr>
          <w:p w14:paraId="34E2E038">
            <w:pPr>
              <w:jc w:val="center"/>
              <w:rPr>
                <w:rFonts w:ascii="仿宋_GB2312" w:hAnsi="仿宋_GB2312" w:eastAsia="仿宋_GB2312" w:cs="仿宋_GB2312"/>
                <w:kern w:val="0"/>
                <w:sz w:val="28"/>
                <w:szCs w:val="28"/>
                <w:shd w:val="clear" w:color="auto" w:fill="FFFFFF"/>
                <w:lang w:bidi="ar"/>
              </w:rPr>
            </w:pPr>
            <w:r>
              <w:rPr>
                <w:rFonts w:hint="eastAsia" w:ascii="仿宋_GB2312" w:hAnsi="仿宋_GB2312" w:eastAsia="仿宋_GB2312" w:cs="仿宋_GB2312"/>
                <w:kern w:val="0"/>
                <w:sz w:val="28"/>
                <w:szCs w:val="28"/>
                <w:shd w:val="clear" w:color="auto" w:fill="FFFFFF"/>
                <w:lang w:bidi="ar"/>
              </w:rPr>
              <w:t>02050560N206000016</w:t>
            </w:r>
          </w:p>
        </w:tc>
      </w:tr>
      <w:tr w14:paraId="1D2BB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01" w:type="dxa"/>
            <w:vAlign w:val="center"/>
          </w:tcPr>
          <w:p w14:paraId="3ABB6E33">
            <w:pPr>
              <w:jc w:val="center"/>
              <w:rPr>
                <w:rFonts w:ascii="仿宋_GB2312" w:hAnsi="仿宋_GB2312" w:eastAsia="仿宋_GB2312" w:cs="仿宋_GB2312"/>
                <w:kern w:val="0"/>
                <w:sz w:val="28"/>
                <w:szCs w:val="28"/>
                <w:shd w:val="clear" w:color="auto" w:fill="FFFFFF"/>
                <w:lang w:bidi="ar"/>
              </w:rPr>
            </w:pPr>
            <w:r>
              <w:rPr>
                <w:rFonts w:hint="eastAsia" w:ascii="仿宋_GB2312" w:hAnsi="仿宋_GB2312" w:eastAsia="仿宋_GB2312" w:cs="仿宋_GB2312"/>
                <w:kern w:val="0"/>
                <w:sz w:val="28"/>
                <w:szCs w:val="28"/>
                <w:shd w:val="clear" w:color="auto" w:fill="FFFFFF"/>
                <w:lang w:bidi="ar"/>
              </w:rPr>
              <w:t>IPS</w:t>
            </w:r>
          </w:p>
        </w:tc>
        <w:tc>
          <w:tcPr>
            <w:tcW w:w="1998" w:type="dxa"/>
            <w:vAlign w:val="center"/>
          </w:tcPr>
          <w:p w14:paraId="437F77AA">
            <w:pPr>
              <w:spacing w:line="360" w:lineRule="exact"/>
              <w:jc w:val="center"/>
              <w:rPr>
                <w:rFonts w:ascii="仿宋_GB2312" w:hAnsi="仿宋_GB2312" w:eastAsia="仿宋_GB2312" w:cs="仿宋_GB2312"/>
                <w:kern w:val="0"/>
                <w:sz w:val="28"/>
                <w:szCs w:val="28"/>
                <w:shd w:val="clear" w:color="auto" w:fill="FFFFFF"/>
                <w:lang w:bidi="ar"/>
              </w:rPr>
            </w:pPr>
            <w:r>
              <w:rPr>
                <w:rFonts w:hint="eastAsia" w:ascii="仿宋_GB2312" w:hAnsi="仿宋_GB2312" w:eastAsia="仿宋_GB2312" w:cs="仿宋_GB2312"/>
                <w:kern w:val="0"/>
                <w:sz w:val="28"/>
                <w:szCs w:val="28"/>
                <w:shd w:val="clear" w:color="auto" w:fill="FFFFFF"/>
                <w:lang w:bidi="ar"/>
              </w:rPr>
              <w:t>DPtech IPS2000-ME-X</w:t>
            </w:r>
          </w:p>
        </w:tc>
        <w:tc>
          <w:tcPr>
            <w:tcW w:w="1207" w:type="dxa"/>
            <w:vAlign w:val="center"/>
          </w:tcPr>
          <w:p w14:paraId="0C1E8622">
            <w:pPr>
              <w:jc w:val="center"/>
              <w:rPr>
                <w:rFonts w:ascii="仿宋_GB2312" w:hAnsi="仿宋_GB2312" w:eastAsia="仿宋_GB2312" w:cs="仿宋_GB2312"/>
                <w:kern w:val="0"/>
                <w:sz w:val="28"/>
                <w:szCs w:val="28"/>
                <w:shd w:val="clear" w:color="auto" w:fill="FFFFFF"/>
                <w:lang w:bidi="ar"/>
              </w:rPr>
            </w:pPr>
            <w:r>
              <w:rPr>
                <w:rFonts w:hint="eastAsia" w:ascii="仿宋_GB2312" w:hAnsi="仿宋_GB2312" w:eastAsia="仿宋_GB2312" w:cs="仿宋_GB2312"/>
                <w:kern w:val="0"/>
                <w:sz w:val="28"/>
                <w:szCs w:val="28"/>
                <w:shd w:val="clear" w:color="auto" w:fill="FFFFFF"/>
                <w:lang w:bidi="ar"/>
              </w:rPr>
              <w:t>迪普</w:t>
            </w:r>
          </w:p>
        </w:tc>
        <w:tc>
          <w:tcPr>
            <w:tcW w:w="3716" w:type="dxa"/>
            <w:vAlign w:val="center"/>
          </w:tcPr>
          <w:p w14:paraId="0A0C83DF">
            <w:pPr>
              <w:jc w:val="center"/>
              <w:rPr>
                <w:rFonts w:ascii="仿宋_GB2312" w:hAnsi="仿宋_GB2312" w:eastAsia="仿宋_GB2312" w:cs="仿宋_GB2312"/>
                <w:kern w:val="0"/>
                <w:sz w:val="28"/>
                <w:szCs w:val="28"/>
                <w:shd w:val="clear" w:color="auto" w:fill="FFFFFF"/>
                <w:lang w:bidi="ar"/>
              </w:rPr>
            </w:pPr>
            <w:r>
              <w:rPr>
                <w:rFonts w:hint="eastAsia" w:ascii="仿宋_GB2312" w:hAnsi="仿宋_GB2312" w:eastAsia="仿宋_GB2312" w:cs="仿宋_GB2312"/>
                <w:kern w:val="0"/>
                <w:sz w:val="28"/>
                <w:szCs w:val="28"/>
                <w:shd w:val="clear" w:color="auto" w:fill="FFFFFF"/>
                <w:lang w:bidi="ar"/>
              </w:rPr>
              <w:t>02050670N205000012</w:t>
            </w:r>
          </w:p>
        </w:tc>
      </w:tr>
    </w:tbl>
    <w:p w14:paraId="319925AD">
      <w:pPr>
        <w:numPr>
          <w:ilvl w:val="0"/>
          <w:numId w:val="2"/>
        </w:numPr>
        <w:spacing w:line="540" w:lineRule="exact"/>
        <w:ind w:firstLine="640"/>
        <w:rPr>
          <w:rFonts w:hint="eastAsia" w:ascii="楷体_GB2312" w:hAnsi="楷体_GB2312" w:eastAsia="楷体_GB2312" w:cs="楷体_GB2312"/>
          <w:kern w:val="0"/>
          <w:sz w:val="32"/>
          <w:szCs w:val="32"/>
          <w:shd w:val="clear" w:color="auto" w:fill="FFFFFF"/>
          <w:lang w:bidi="ar"/>
        </w:rPr>
      </w:pPr>
      <w:r>
        <w:rPr>
          <w:rFonts w:hint="eastAsia" w:ascii="楷体_GB2312" w:hAnsi="楷体_GB2312" w:eastAsia="楷体_GB2312" w:cs="楷体_GB2312"/>
          <w:kern w:val="0"/>
          <w:sz w:val="32"/>
          <w:szCs w:val="32"/>
          <w:shd w:val="clear" w:color="auto" w:fill="FFFFFF"/>
          <w:lang w:bidi="ar"/>
        </w:rPr>
        <w:t>等保测评服务</w:t>
      </w:r>
    </w:p>
    <w:p w14:paraId="5B4737E9">
      <w:pPr>
        <w:tabs>
          <w:tab w:val="left" w:pos="0"/>
        </w:tabs>
        <w:spacing w:line="360" w:lineRule="auto"/>
        <w:ind w:firstLine="640" w:firstLineChars="200"/>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通导平台进行等保二级加固建设后，需再次经由网络安全第三方公司进行测评并获取测评报告，测评内容包括：机房安全物理环境、安全网络防护，区域边界防护、安全计算环境及安全管理制度等五个方面，测评合格后通过网安相关部门重新备案并取得备案证明。</w:t>
      </w:r>
    </w:p>
    <w:p w14:paraId="5638CC38">
      <w:pPr>
        <w:numPr>
          <w:ilvl w:val="0"/>
          <w:numId w:val="2"/>
        </w:numPr>
        <w:spacing w:line="360" w:lineRule="auto"/>
        <w:ind w:firstLine="640"/>
        <w:rPr>
          <w:rFonts w:ascii="仿宋_GB2312" w:hAnsi="仿宋_GB2312" w:eastAsia="仿宋_GB2312" w:cs="仿宋_GB2312"/>
          <w:kern w:val="0"/>
          <w:sz w:val="32"/>
          <w:szCs w:val="32"/>
          <w:shd w:val="clear" w:color="auto" w:fill="FFFFFF"/>
          <w:lang w:bidi="ar"/>
        </w:rPr>
      </w:pPr>
      <w:r>
        <w:rPr>
          <w:rFonts w:hint="eastAsia" w:ascii="楷体_GB2312" w:hAnsi="楷体_GB2312" w:eastAsia="楷体_GB2312" w:cs="楷体_GB2312"/>
          <w:kern w:val="0"/>
          <w:sz w:val="32"/>
          <w:szCs w:val="32"/>
          <w:shd w:val="clear" w:color="auto" w:fill="FFFFFF"/>
          <w:lang w:bidi="ar"/>
        </w:rPr>
        <w:t>通导平台整体网络安全拓扑图</w:t>
      </w:r>
    </w:p>
    <w:p w14:paraId="5BFF73BB">
      <w:pPr>
        <w:tabs>
          <w:tab w:val="left" w:pos="0"/>
        </w:tabs>
        <w:spacing w:line="360" w:lineRule="auto"/>
        <w:ind w:left="420" w:leftChars="200"/>
        <w:jc w:val="center"/>
        <w:rPr>
          <w:rFonts w:ascii="仿宋_GB2312" w:hAnsi="仿宋_GB2312" w:eastAsia="仿宋_GB2312" w:cs="仿宋_GB2312"/>
          <w:kern w:val="0"/>
          <w:sz w:val="32"/>
          <w:szCs w:val="32"/>
          <w:shd w:val="clear" w:color="auto" w:fill="FFFFFF"/>
          <w:lang w:bidi="ar"/>
        </w:rPr>
      </w:pPr>
      <w:r>
        <w:rPr>
          <w:rFonts w:ascii="仿宋_GB2312" w:hAnsi="仿宋_GB2312" w:eastAsia="仿宋_GB2312" w:cs="仿宋_GB2312"/>
          <w:kern w:val="0"/>
          <w:sz w:val="32"/>
          <w:szCs w:val="32"/>
          <w:shd w:val="clear" w:color="auto" w:fill="FFFFFF"/>
          <w:lang w:bidi="ar"/>
        </w:rPr>
        <w:drawing>
          <wp:inline distT="0" distB="0" distL="114300" distR="114300">
            <wp:extent cx="5464810" cy="3809365"/>
            <wp:effectExtent l="0" t="0" r="2540" b="635"/>
            <wp:docPr id="5" name="图片 5" descr="f09345adfb20105cf0e9c8c671f8e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09345adfb20105cf0e9c8c671f8eca"/>
                    <pic:cNvPicPr>
                      <a:picLocks noChangeAspect="1"/>
                    </pic:cNvPicPr>
                  </pic:nvPicPr>
                  <pic:blipFill>
                    <a:blip r:embed="rId4"/>
                    <a:stretch>
                      <a:fillRect/>
                    </a:stretch>
                  </pic:blipFill>
                  <pic:spPr>
                    <a:xfrm>
                      <a:off x="0" y="0"/>
                      <a:ext cx="5464810" cy="3809365"/>
                    </a:xfrm>
                    <a:prstGeom prst="rect">
                      <a:avLst/>
                    </a:prstGeom>
                  </pic:spPr>
                </pic:pic>
              </a:graphicData>
            </a:graphic>
          </wp:inline>
        </w:drawing>
      </w:r>
    </w:p>
    <w:p w14:paraId="7207C2A5">
      <w:pPr>
        <w:tabs>
          <w:tab w:val="left" w:pos="0"/>
        </w:tabs>
        <w:spacing w:line="360" w:lineRule="auto"/>
        <w:ind w:left="420" w:leftChars="200"/>
        <w:rPr>
          <w:rFonts w:ascii="仿宋_GB2312" w:hAnsi="仿宋_GB2312" w:eastAsia="仿宋_GB2312" w:cs="仿宋_GB2312"/>
          <w:kern w:val="0"/>
          <w:sz w:val="32"/>
          <w:szCs w:val="32"/>
          <w:shd w:val="clear" w:color="auto" w:fill="FFFFFF"/>
          <w:lang w:bidi="ar"/>
        </w:rPr>
      </w:pPr>
      <w:r>
        <w:rPr>
          <w:rFonts w:hint="eastAsia" w:ascii="仿宋_GB2312" w:hAnsi="仿宋_GB2312" w:eastAsia="仿宋_GB2312" w:cs="仿宋_GB2312"/>
          <w:kern w:val="0"/>
          <w:sz w:val="32"/>
          <w:szCs w:val="32"/>
          <w:shd w:val="clear" w:color="auto" w:fill="FFFFFF"/>
          <w:lang w:bidi="ar"/>
        </w:rPr>
        <w:t>备注：蓝色字体为利旧设备，红色字体为新增设备。</w:t>
      </w:r>
    </w:p>
    <w:p w14:paraId="2EC31B7E">
      <w:pPr>
        <w:numPr>
          <w:ilvl w:val="0"/>
          <w:numId w:val="1"/>
        </w:numPr>
        <w:spacing w:before="156" w:beforeLines="50" w:after="156" w:afterLines="50" w:line="54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建设</w:t>
      </w:r>
      <w:r>
        <w:rPr>
          <w:rFonts w:hint="eastAsia" w:ascii="黑体" w:hAnsi="黑体" w:eastAsia="黑体" w:cs="黑体"/>
          <w:sz w:val="32"/>
          <w:szCs w:val="32"/>
          <w:lang w:val="en-US" w:eastAsia="zh-CN"/>
        </w:rPr>
        <w:t>清单</w:t>
      </w:r>
    </w:p>
    <w:tbl>
      <w:tblPr>
        <w:tblStyle w:val="3"/>
        <w:tblW w:w="9292"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
        <w:gridCol w:w="1395"/>
        <w:gridCol w:w="5520"/>
        <w:gridCol w:w="765"/>
        <w:gridCol w:w="765"/>
      </w:tblGrid>
      <w:tr w14:paraId="4D9BC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14:paraId="0E028BD1">
            <w:pPr>
              <w:jc w:val="center"/>
              <w:rPr>
                <w:rFonts w:ascii="仿宋_GB2312" w:hAnsi="仿宋_GB2312" w:eastAsia="仿宋_GB2312" w:cs="仿宋_GB2312"/>
                <w:b/>
                <w:bCs/>
                <w:kern w:val="0"/>
                <w:sz w:val="24"/>
                <w:shd w:val="clear" w:color="auto" w:fill="FFFFFF"/>
                <w:lang w:bidi="ar"/>
              </w:rPr>
            </w:pPr>
            <w:r>
              <w:rPr>
                <w:rFonts w:hint="eastAsia" w:ascii="仿宋_GB2312" w:hAnsi="仿宋_GB2312" w:eastAsia="仿宋_GB2312" w:cs="仿宋_GB2312"/>
                <w:b/>
                <w:bCs/>
                <w:kern w:val="0"/>
                <w:sz w:val="24"/>
                <w:shd w:val="clear" w:color="auto" w:fill="FFFFFF"/>
                <w:lang w:bidi="ar"/>
              </w:rPr>
              <w:t>序号</w:t>
            </w:r>
          </w:p>
        </w:tc>
        <w:tc>
          <w:tcPr>
            <w:tcW w:w="1395" w:type="dxa"/>
            <w:vAlign w:val="center"/>
          </w:tcPr>
          <w:p w14:paraId="12BA78A4">
            <w:pPr>
              <w:jc w:val="center"/>
              <w:rPr>
                <w:rFonts w:ascii="仿宋_GB2312" w:hAnsi="仿宋_GB2312" w:eastAsia="仿宋_GB2312" w:cs="仿宋_GB2312"/>
                <w:b/>
                <w:bCs/>
                <w:kern w:val="0"/>
                <w:sz w:val="24"/>
                <w:shd w:val="clear" w:color="auto" w:fill="FFFFFF"/>
                <w:lang w:bidi="ar"/>
              </w:rPr>
            </w:pPr>
            <w:r>
              <w:rPr>
                <w:rFonts w:hint="eastAsia" w:ascii="仿宋_GB2312" w:hAnsi="仿宋_GB2312" w:eastAsia="仿宋_GB2312" w:cs="仿宋_GB2312"/>
                <w:b/>
                <w:bCs/>
                <w:kern w:val="0"/>
                <w:sz w:val="24"/>
                <w:shd w:val="clear" w:color="auto" w:fill="FFFFFF"/>
                <w:lang w:bidi="ar"/>
              </w:rPr>
              <w:t>名称</w:t>
            </w:r>
          </w:p>
        </w:tc>
        <w:tc>
          <w:tcPr>
            <w:tcW w:w="5520" w:type="dxa"/>
            <w:vAlign w:val="center"/>
          </w:tcPr>
          <w:p w14:paraId="16B2E966">
            <w:pPr>
              <w:jc w:val="center"/>
              <w:rPr>
                <w:rFonts w:ascii="仿宋_GB2312" w:hAnsi="仿宋_GB2312" w:eastAsia="仿宋_GB2312" w:cs="仿宋_GB2312"/>
                <w:b/>
                <w:bCs/>
                <w:kern w:val="0"/>
                <w:sz w:val="24"/>
                <w:shd w:val="clear" w:color="auto" w:fill="FFFFFF"/>
                <w:lang w:bidi="ar"/>
              </w:rPr>
            </w:pPr>
            <w:r>
              <w:rPr>
                <w:rFonts w:hint="eastAsia" w:ascii="仿宋_GB2312" w:hAnsi="仿宋_GB2312" w:eastAsia="仿宋_GB2312" w:cs="仿宋_GB2312"/>
                <w:b/>
                <w:bCs/>
                <w:kern w:val="0"/>
                <w:sz w:val="24"/>
                <w:shd w:val="clear" w:color="auto" w:fill="FFFFFF"/>
                <w:lang w:bidi="ar"/>
              </w:rPr>
              <w:t>技术说明</w:t>
            </w:r>
          </w:p>
        </w:tc>
        <w:tc>
          <w:tcPr>
            <w:tcW w:w="765" w:type="dxa"/>
            <w:vAlign w:val="center"/>
          </w:tcPr>
          <w:p w14:paraId="68B09BE9">
            <w:pPr>
              <w:jc w:val="center"/>
              <w:rPr>
                <w:rFonts w:ascii="仿宋_GB2312" w:hAnsi="仿宋_GB2312" w:eastAsia="仿宋_GB2312" w:cs="仿宋_GB2312"/>
                <w:b/>
                <w:bCs/>
                <w:kern w:val="0"/>
                <w:sz w:val="24"/>
                <w:shd w:val="clear" w:color="auto" w:fill="FFFFFF"/>
                <w:lang w:bidi="ar"/>
              </w:rPr>
            </w:pPr>
            <w:r>
              <w:rPr>
                <w:rFonts w:hint="eastAsia" w:ascii="仿宋_GB2312" w:hAnsi="仿宋_GB2312" w:eastAsia="仿宋_GB2312" w:cs="仿宋_GB2312"/>
                <w:b/>
                <w:bCs/>
                <w:kern w:val="0"/>
                <w:sz w:val="24"/>
                <w:shd w:val="clear" w:color="auto" w:fill="FFFFFF"/>
                <w:lang w:bidi="ar"/>
              </w:rPr>
              <w:t>数量</w:t>
            </w:r>
          </w:p>
        </w:tc>
        <w:tc>
          <w:tcPr>
            <w:tcW w:w="765" w:type="dxa"/>
            <w:vAlign w:val="center"/>
          </w:tcPr>
          <w:p w14:paraId="5A5A19C7">
            <w:pPr>
              <w:jc w:val="center"/>
              <w:rPr>
                <w:rFonts w:ascii="仿宋_GB2312" w:hAnsi="仿宋_GB2312" w:eastAsia="仿宋_GB2312" w:cs="仿宋_GB2312"/>
                <w:b/>
                <w:bCs/>
                <w:kern w:val="0"/>
                <w:sz w:val="24"/>
                <w:shd w:val="clear" w:color="auto" w:fill="FFFFFF"/>
                <w:lang w:bidi="ar"/>
              </w:rPr>
            </w:pPr>
            <w:r>
              <w:rPr>
                <w:rFonts w:hint="eastAsia" w:ascii="仿宋_GB2312" w:hAnsi="仿宋_GB2312" w:eastAsia="仿宋_GB2312" w:cs="仿宋_GB2312"/>
                <w:b/>
                <w:bCs/>
                <w:kern w:val="0"/>
                <w:sz w:val="24"/>
                <w:shd w:val="clear" w:color="auto" w:fill="FFFFFF"/>
                <w:lang w:bidi="ar"/>
              </w:rPr>
              <w:t>单位</w:t>
            </w:r>
          </w:p>
        </w:tc>
      </w:tr>
      <w:tr w14:paraId="38C23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14:paraId="6B8F240C">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w:t>
            </w:r>
          </w:p>
        </w:tc>
        <w:tc>
          <w:tcPr>
            <w:tcW w:w="1395" w:type="dxa"/>
            <w:vAlign w:val="center"/>
          </w:tcPr>
          <w:p w14:paraId="6D66CE0D">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防火墙（含三年病毒库）</w:t>
            </w:r>
          </w:p>
        </w:tc>
        <w:tc>
          <w:tcPr>
            <w:tcW w:w="5520" w:type="dxa"/>
            <w:vAlign w:val="center"/>
          </w:tcPr>
          <w:p w14:paraId="4D2276D7">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1、具备千兆电口≥8个，千兆光口≥2个，支持扩展槽≥2个，高度≤1U，双电源；</w:t>
            </w:r>
          </w:p>
          <w:p w14:paraId="783AD266">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2、整机吞吐量≥8Gbps，每秒新建连接数≥7万，最大并发连接数≥300万；</w:t>
            </w:r>
          </w:p>
          <w:p w14:paraId="4B202F9B">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3、为便于运维，硬件面板应支持专门的一键重启按键，必要时可在不登录设备的情况下一键重启设备。</w:t>
            </w:r>
          </w:p>
          <w:p w14:paraId="6FED00B9">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4、支持自动生成安全策略。统一管理平台可通过对流量日志的统计整理，自动生成安全策略，并下发给防火墙设备，提高运维人员工作效率；</w:t>
            </w:r>
          </w:p>
          <w:p w14:paraId="05628302">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5、支持通过命令行的方式对设备内部数据流进行分析，可快速定位造成故障的防火墙内部功能模块，便于进行故障排查；</w:t>
            </w:r>
          </w:p>
          <w:p w14:paraId="6D44CE05">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6、支持基于不同安全策略设定会话长连接老化时间；</w:t>
            </w:r>
          </w:p>
          <w:p w14:paraId="18EAD4C9">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7、支持多虚一部署，可将两台物理设备虚拟化成一台逻辑上的设备；</w:t>
            </w:r>
          </w:p>
          <w:p w14:paraId="096207B7">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8、支持将一台逻辑上的设备虚拟化成多个虚拟防火墙，并可查看各虚拟防火墙的CPU和内存利用率、新建、并发和吞吐信息，并可单独重启特定虚拟防火墙</w:t>
            </w:r>
          </w:p>
          <w:p w14:paraId="5943B771">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9、为保证业务连通性，设备支持CPU利用率过高时，自动停用部分应用层攻击防护功能</w:t>
            </w:r>
          </w:p>
          <w:p w14:paraId="13C5DE53">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10、支持配置回滚，并可对比回滚前后配置文件中的不同</w:t>
            </w:r>
          </w:p>
          <w:p w14:paraId="511705FA">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11、支持对安全策略进行冗余分析，并支持按不同时间段筛选未匹配的策略功能，且可以对其进行禁/启用或者删除操作。</w:t>
            </w:r>
          </w:p>
          <w:p w14:paraId="1BFBC5EE">
            <w:pPr>
              <w:jc w:val="left"/>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12、为保证可靠性，设备支持双机热备，且主备切换时丢包不超过3个</w:t>
            </w:r>
          </w:p>
        </w:tc>
        <w:tc>
          <w:tcPr>
            <w:tcW w:w="765" w:type="dxa"/>
            <w:vAlign w:val="center"/>
          </w:tcPr>
          <w:p w14:paraId="24E50305">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2</w:t>
            </w:r>
          </w:p>
        </w:tc>
        <w:tc>
          <w:tcPr>
            <w:tcW w:w="765" w:type="dxa"/>
            <w:vAlign w:val="center"/>
          </w:tcPr>
          <w:p w14:paraId="00B19C34">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台</w:t>
            </w:r>
          </w:p>
        </w:tc>
      </w:tr>
      <w:tr w14:paraId="05DB7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14:paraId="62744706">
            <w:pPr>
              <w:jc w:val="center"/>
              <w:rPr>
                <w:rFonts w:hint="default"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2</w:t>
            </w:r>
          </w:p>
        </w:tc>
        <w:tc>
          <w:tcPr>
            <w:tcW w:w="1395" w:type="dxa"/>
            <w:vAlign w:val="center"/>
          </w:tcPr>
          <w:p w14:paraId="64FA1F27">
            <w:pPr>
              <w:jc w:val="center"/>
              <w:rPr>
                <w:rFonts w:hint="default"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核心交换机</w:t>
            </w:r>
          </w:p>
        </w:tc>
        <w:tc>
          <w:tcPr>
            <w:tcW w:w="5520" w:type="dxa"/>
            <w:vAlign w:val="center"/>
          </w:tcPr>
          <w:p w14:paraId="647BF4D6">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1.交换容量≥38.4Tbps/168Tbps，包转发率≥7200Mpps/36000Mpps。</w:t>
            </w:r>
          </w:p>
          <w:p w14:paraId="1045DEC5">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2.整机独立插槽≥3个，系统电源槽位≥2个；</w:t>
            </w:r>
          </w:p>
          <w:p w14:paraId="42A8F73B">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3.单张线卡支持千兆电口数量≥24个，千兆光口≥24个，</w:t>
            </w:r>
          </w:p>
          <w:p w14:paraId="6E203F45">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4.为提高机房空间利用率，节约空间成本，要求采用紧凑型机框设计，设备高度&lt;=4U。</w:t>
            </w:r>
          </w:p>
          <w:p w14:paraId="5363C5FB">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5.支持高效节能以太网（EEE），端口如果在连续一段时间之内空闲，系统会将该端口设置为节能模式，当有报文收发时再通过定时发送的监听码流唤醒端口恢复业务，达到节能的效果。</w:t>
            </w:r>
          </w:p>
          <w:p w14:paraId="52B6D1A5">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6.设备防雷不低于6kV，</w:t>
            </w:r>
          </w:p>
          <w:p w14:paraId="6DE586AF">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7.支持对交换机、无线AP进行统一管理，管理的交换机、无线AP设备数量≥300台，</w:t>
            </w:r>
          </w:p>
          <w:p w14:paraId="105C987C">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8.支持网管平台和手机APP集中管理，实配网管平台，出现交换机端口状态改变、网络出现环路、交换机端口流量过阀值等问题通过微信告警推送，保留测试权力。</w:t>
            </w:r>
          </w:p>
        </w:tc>
        <w:tc>
          <w:tcPr>
            <w:tcW w:w="765" w:type="dxa"/>
            <w:vAlign w:val="center"/>
          </w:tcPr>
          <w:p w14:paraId="5F8C49EB">
            <w:pPr>
              <w:jc w:val="center"/>
              <w:rPr>
                <w:rFonts w:hint="eastAsia"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2</w:t>
            </w:r>
          </w:p>
        </w:tc>
        <w:tc>
          <w:tcPr>
            <w:tcW w:w="765" w:type="dxa"/>
            <w:vAlign w:val="center"/>
          </w:tcPr>
          <w:p w14:paraId="62114368">
            <w:pPr>
              <w:jc w:val="center"/>
              <w:rPr>
                <w:rFonts w:hint="eastAsia"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台</w:t>
            </w:r>
          </w:p>
        </w:tc>
      </w:tr>
      <w:tr w14:paraId="6470D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14:paraId="0D055CA2">
            <w:pPr>
              <w:jc w:val="center"/>
              <w:rPr>
                <w:rFonts w:hint="eastAsia"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3</w:t>
            </w:r>
          </w:p>
        </w:tc>
        <w:tc>
          <w:tcPr>
            <w:tcW w:w="1395" w:type="dxa"/>
            <w:vAlign w:val="center"/>
          </w:tcPr>
          <w:p w14:paraId="21BF72FE">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病毒主动检测</w:t>
            </w:r>
          </w:p>
        </w:tc>
        <w:tc>
          <w:tcPr>
            <w:tcW w:w="5520" w:type="dxa"/>
            <w:vAlign w:val="center"/>
          </w:tcPr>
          <w:p w14:paraId="162E2D2F">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 具备千兆电口≥8个，千兆光口≥2个，支持扩展槽≥2个，高度≤1U，支持扩展4千兆电/4千兆光接口卡；支持扩展SSD硬盘；配置冗余电源</w:t>
            </w:r>
          </w:p>
          <w:p w14:paraId="2AEC6986">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2、 整机网络层吞吐≥4Gbps，IDS吞吐≥1.5Gbps，最大并发连接数≥100万，每秒新建连接数≥2万</w:t>
            </w:r>
          </w:p>
          <w:p w14:paraId="0FE42989">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3、支持在Web页面直接打开命令行窗口执行命令，方便使用</w:t>
            </w:r>
          </w:p>
          <w:p w14:paraId="46D61B84">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4、支持隧道报文检测，可以识别并检测VLAN，QINQ，MPLS，GRE，VXLAN，PPPOE等常见协议封装的网络报文</w:t>
            </w:r>
          </w:p>
          <w:p w14:paraId="0D3DDDFD">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5、内置丰富的入侵检测特征库，可针对SQL注入、木马后门、漏洞利用等恶意攻击进行检测和阻断，特征规则数量不少于9000条</w:t>
            </w:r>
          </w:p>
          <w:p w14:paraId="10EFDEC0">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6、入侵检测日志支持聚合发送，聚合条件包括源IP聚合、目的IP聚合、源端口聚合、目的端口聚合、协议聚合，同时发送的日志服务器不少于10个</w:t>
            </w:r>
          </w:p>
          <w:p w14:paraId="4902E5DD">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7、支持暴力破解检测，至少支持数据库、RDP、POP3、HTTP、VNC、Rlogin、Weblogic、SMB、SMTP、FTP、IMAP、Telnet、SSH等协议的检测</w:t>
            </w:r>
          </w:p>
          <w:p w14:paraId="599EEC83">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8、支持对挖矿行为进行检测与防护，能够对挖矿通信、矿池连接、挖矿病毒传播行为进行统计，能够展示挖矿通信源IP、挖矿通信服务器IP、矿池IP、矿池域名、中毒地址、投毒地址等信息top排行，支持按最近一天、最近两天、最近一周、最近一个月进行排行展示，展示的内容包括IP/域名以及攻击数量</w:t>
            </w:r>
          </w:p>
          <w:p w14:paraId="48AB4055">
            <w:pPr>
              <w:jc w:val="left"/>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9、支持跨物理设备的端口聚合，扩展带宽节省链路资源以及方便部署</w:t>
            </w:r>
          </w:p>
        </w:tc>
        <w:tc>
          <w:tcPr>
            <w:tcW w:w="765" w:type="dxa"/>
            <w:vAlign w:val="center"/>
          </w:tcPr>
          <w:p w14:paraId="6CCFD059">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w:t>
            </w:r>
          </w:p>
        </w:tc>
        <w:tc>
          <w:tcPr>
            <w:tcW w:w="765" w:type="dxa"/>
            <w:vAlign w:val="center"/>
          </w:tcPr>
          <w:p w14:paraId="7B78CD81">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台</w:t>
            </w:r>
          </w:p>
        </w:tc>
      </w:tr>
      <w:tr w14:paraId="5486C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14:paraId="57506BE7">
            <w:pPr>
              <w:jc w:val="center"/>
              <w:rPr>
                <w:rFonts w:hint="eastAsia"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4</w:t>
            </w:r>
          </w:p>
        </w:tc>
        <w:tc>
          <w:tcPr>
            <w:tcW w:w="1395" w:type="dxa"/>
            <w:vAlign w:val="center"/>
          </w:tcPr>
          <w:p w14:paraId="43486A50">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数据库审计</w:t>
            </w:r>
          </w:p>
        </w:tc>
        <w:tc>
          <w:tcPr>
            <w:tcW w:w="5520" w:type="dxa"/>
            <w:vAlign w:val="center"/>
          </w:tcPr>
          <w:p w14:paraId="3B686DB2">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1、高度2U，千兆电口≥6个，USB接口≥2个，Console口≥1个，扩展槽≥2个；硬盘≥2T；内存≥16G；</w:t>
            </w:r>
          </w:p>
          <w:p w14:paraId="340CB38D">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2、SQL处理能力≥20000条/秒，入库量≥10000条/秒，日志存储能力≥20亿条；</w:t>
            </w:r>
          </w:p>
          <w:p w14:paraId="35F24C64">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3、支持扫描网络中的开放的服务，自动发现网络中存在的数据库系统，能够自动或手动将这些服务进行安全防护；</w:t>
            </w:r>
          </w:p>
          <w:p w14:paraId="0805CDA4">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4、支持自动发现敏感数据如身份证号、银行账号等信息，便于进行用户权限控制，支持将扫描到的敏感表信息进行导出</w:t>
            </w:r>
          </w:p>
          <w:p w14:paraId="4D41D2EF">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5、可以查看数据库系统的监视器信息、软件版本信息、补丁信息、表空间情况、会话信息、回退信息、权限信息等信息来判断数据库系统运行是否正常，保证数据库系统的可用性和响应能力。</w:t>
            </w:r>
          </w:p>
          <w:p w14:paraId="3DE47D6A">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6、检测数据库账户是否存在弱口令，提供口令格式校验，口令有效期检测，口令修改时间检测，口令加密检测等功能；</w:t>
            </w:r>
          </w:p>
          <w:p w14:paraId="7B1FCA45">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7、支持对数据库链接信息的访问权限，默认的系统表空间， public对象权限设置，public系统权限设置，被授予管理员权限的角色，connect角色授权，resource角色授权等信息的风险的扫描；</w:t>
            </w:r>
          </w:p>
          <w:p w14:paraId="3D21541D">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8、支持对数据库表级访问的安全性设置，SGA共享池分配私有空间的限制，每次调用读入的数据块数目的限制，一次会话读入的数据块总数的限制，是否启用资源限制等数据库系统配置的风险扫描 ；</w:t>
            </w:r>
          </w:p>
          <w:p w14:paraId="4C236065">
            <w:pPr>
              <w:jc w:val="left"/>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9、可通过图形化界面配置链路捆绑，无需登录系统后台；</w:t>
            </w:r>
          </w:p>
        </w:tc>
        <w:tc>
          <w:tcPr>
            <w:tcW w:w="765" w:type="dxa"/>
            <w:vAlign w:val="center"/>
          </w:tcPr>
          <w:p w14:paraId="0435DAA9">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w:t>
            </w:r>
          </w:p>
        </w:tc>
        <w:tc>
          <w:tcPr>
            <w:tcW w:w="765" w:type="dxa"/>
            <w:vAlign w:val="center"/>
          </w:tcPr>
          <w:p w14:paraId="21124250">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台</w:t>
            </w:r>
          </w:p>
        </w:tc>
      </w:tr>
      <w:tr w14:paraId="4832C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trPr>
        <w:tc>
          <w:tcPr>
            <w:tcW w:w="847" w:type="dxa"/>
            <w:vAlign w:val="center"/>
          </w:tcPr>
          <w:p w14:paraId="5128F530">
            <w:pPr>
              <w:jc w:val="center"/>
              <w:rPr>
                <w:rFonts w:hint="eastAsia"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5</w:t>
            </w:r>
          </w:p>
        </w:tc>
        <w:tc>
          <w:tcPr>
            <w:tcW w:w="1395" w:type="dxa"/>
            <w:vAlign w:val="center"/>
          </w:tcPr>
          <w:p w14:paraId="2B530981">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运维审计</w:t>
            </w:r>
          </w:p>
        </w:tc>
        <w:tc>
          <w:tcPr>
            <w:tcW w:w="5520" w:type="dxa"/>
            <w:vAlign w:val="center"/>
          </w:tcPr>
          <w:p w14:paraId="473D7C6F">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1、高度≤1U，千兆电口≥6个，USB接口≥2个，Console口≥1个，扩展槽≥1个；硬盘≥1T；内存≥16G；350W单电源；</w:t>
            </w:r>
          </w:p>
          <w:p w14:paraId="5F308890">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2、管理点数≥60个；</w:t>
            </w:r>
          </w:p>
          <w:p w14:paraId="1F5E6570">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支持通过动作流配置提供广泛的应用接入支持，无论被接入的资源如何设计登录动作，都可对如Navicat、PLSQL Developer等客户端设计动作流配置，实现单点登录和审计接入。</w:t>
            </w:r>
          </w:p>
          <w:p w14:paraId="499FC0A7">
            <w:pPr>
              <w:numPr>
                <w:ilvl w:val="0"/>
                <w:numId w:val="3"/>
              </w:num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支持用户使用USBkey （证书配置）认证、、AD/LDAP认证、Radius 认证、手机动态令牌认证、短信配置认证、用户名+密码等方式进行登录认证，并支持各种认证方式和静态口令双因子组合认证</w:t>
            </w:r>
          </w:p>
          <w:p w14:paraId="616F3F82">
            <w:pPr>
              <w:numPr>
                <w:ilvl w:val="0"/>
                <w:numId w:val="0"/>
              </w:num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4、支持在授权基础上自定义访问审批流程，可设置一级或多级审批人，每级审批可指定通过投票数，需逐级审批通过才可最终发起运维操作</w:t>
            </w:r>
          </w:p>
          <w:p w14:paraId="2BA07640">
            <w:pPr>
              <w:jc w:val="left"/>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5、支持 web 页面直接发起运维，无需安装任何控件，并同时支持调用SecureCRT 、 Xshell 、 Putty 、 WinSCP 、 FileZilla 、xftp、RDP  等客户端工具实现单点登陆，不改变运维人员操作习惯；</w:t>
            </w:r>
          </w:p>
        </w:tc>
        <w:tc>
          <w:tcPr>
            <w:tcW w:w="765" w:type="dxa"/>
            <w:vAlign w:val="center"/>
          </w:tcPr>
          <w:p w14:paraId="45E54DAA">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w:t>
            </w:r>
          </w:p>
        </w:tc>
        <w:tc>
          <w:tcPr>
            <w:tcW w:w="765" w:type="dxa"/>
            <w:vAlign w:val="center"/>
          </w:tcPr>
          <w:p w14:paraId="08E1597D">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台</w:t>
            </w:r>
          </w:p>
        </w:tc>
      </w:tr>
      <w:tr w14:paraId="5716D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14:paraId="5EBCCB32">
            <w:pPr>
              <w:jc w:val="center"/>
              <w:rPr>
                <w:rFonts w:hint="eastAsia"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6</w:t>
            </w:r>
          </w:p>
        </w:tc>
        <w:tc>
          <w:tcPr>
            <w:tcW w:w="1395" w:type="dxa"/>
            <w:vAlign w:val="center"/>
          </w:tcPr>
          <w:p w14:paraId="0BCC2578">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杀毒软件</w:t>
            </w:r>
          </w:p>
        </w:tc>
        <w:tc>
          <w:tcPr>
            <w:tcW w:w="5520" w:type="dxa"/>
            <w:vAlign w:val="center"/>
          </w:tcPr>
          <w:p w14:paraId="31C61A14">
            <w:pPr>
              <w:jc w:val="left"/>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5个WindowsServer客户端防病毒功能授权，含3年升级许可。针对服务器操作系统进行病毒查杀，提供主动防御系统防护等功能。系统默认支持WindowsServer。</w:t>
            </w:r>
            <w:r>
              <w:rPr>
                <w:rFonts w:hint="eastAsia" w:ascii="仿宋_GB2312" w:hAnsi="仿宋_GB2312" w:eastAsia="仿宋_GB2312" w:cs="仿宋_GB2312"/>
                <w:kern w:val="0"/>
                <w:sz w:val="24"/>
                <w:shd w:val="clear" w:color="auto" w:fill="FFFFFF"/>
                <w:lang w:bidi="ar"/>
              </w:rPr>
              <w:br w:type="textWrapping"/>
            </w:r>
            <w:r>
              <w:rPr>
                <w:rFonts w:hint="eastAsia" w:ascii="仿宋_GB2312" w:hAnsi="仿宋_GB2312" w:eastAsia="仿宋_GB2312" w:cs="仿宋_GB2312"/>
                <w:kern w:val="0"/>
                <w:sz w:val="24"/>
                <w:shd w:val="clear" w:color="auto" w:fill="FFFFFF"/>
                <w:lang w:bidi="ar"/>
              </w:rPr>
              <w:t>默认包含3年病毒库升级服务</w:t>
            </w:r>
          </w:p>
        </w:tc>
        <w:tc>
          <w:tcPr>
            <w:tcW w:w="765" w:type="dxa"/>
            <w:vAlign w:val="center"/>
          </w:tcPr>
          <w:p w14:paraId="17E32E8F">
            <w:pPr>
              <w:jc w:val="center"/>
              <w:rPr>
                <w:rFonts w:hint="eastAsia"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1</w:t>
            </w:r>
          </w:p>
        </w:tc>
        <w:tc>
          <w:tcPr>
            <w:tcW w:w="765" w:type="dxa"/>
            <w:vAlign w:val="center"/>
          </w:tcPr>
          <w:p w14:paraId="017DEDC2">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套</w:t>
            </w:r>
          </w:p>
        </w:tc>
      </w:tr>
      <w:tr w14:paraId="6DCD7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14:paraId="435BD383">
            <w:pPr>
              <w:jc w:val="center"/>
              <w:rPr>
                <w:rFonts w:hint="eastAsia"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7</w:t>
            </w:r>
          </w:p>
        </w:tc>
        <w:tc>
          <w:tcPr>
            <w:tcW w:w="1395" w:type="dxa"/>
            <w:vAlign w:val="center"/>
          </w:tcPr>
          <w:p w14:paraId="6A28C1DC">
            <w:pPr>
              <w:jc w:val="center"/>
              <w:rPr>
                <w:rFonts w:hint="default"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安全自动报告打印机</w:t>
            </w:r>
          </w:p>
        </w:tc>
        <w:tc>
          <w:tcPr>
            <w:tcW w:w="5520" w:type="dxa"/>
            <w:vAlign w:val="center"/>
          </w:tcPr>
          <w:p w14:paraId="5FDC6ACA">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val="en-US" w:eastAsia="zh-CN" w:bidi="ar"/>
              </w:rPr>
              <w:t>1.国产品牌</w:t>
            </w:r>
            <w:r>
              <w:rPr>
                <w:rFonts w:hint="eastAsia" w:ascii="仿宋_GB2312" w:hAnsi="仿宋_GB2312" w:eastAsia="仿宋_GB2312" w:cs="仿宋_GB2312"/>
                <w:kern w:val="0"/>
                <w:sz w:val="24"/>
                <w:shd w:val="clear" w:color="auto" w:fill="FFFFFF"/>
                <w:lang w:bidi="ar"/>
              </w:rPr>
              <w:t>激光</w:t>
            </w:r>
            <w:r>
              <w:rPr>
                <w:rFonts w:hint="eastAsia" w:ascii="仿宋_GB2312" w:hAnsi="仿宋_GB2312" w:eastAsia="仿宋_GB2312" w:cs="仿宋_GB2312"/>
                <w:kern w:val="0"/>
                <w:sz w:val="24"/>
                <w:shd w:val="clear" w:color="auto" w:fill="FFFFFF"/>
                <w:lang w:eastAsia="zh-CN" w:bidi="ar"/>
              </w:rPr>
              <w:t>单功能彩色</w:t>
            </w:r>
            <w:r>
              <w:rPr>
                <w:rFonts w:hint="eastAsia" w:ascii="仿宋_GB2312" w:hAnsi="仿宋_GB2312" w:eastAsia="仿宋_GB2312" w:cs="仿宋_GB2312"/>
                <w:kern w:val="0"/>
                <w:sz w:val="24"/>
                <w:shd w:val="clear" w:color="auto" w:fill="FFFFFF"/>
                <w:lang w:bidi="ar"/>
              </w:rPr>
              <w:t>双面网络</w:t>
            </w:r>
            <w:r>
              <w:rPr>
                <w:rFonts w:hint="eastAsia" w:ascii="仿宋_GB2312" w:hAnsi="仿宋_GB2312" w:eastAsia="仿宋_GB2312" w:cs="仿宋_GB2312"/>
                <w:kern w:val="0"/>
                <w:sz w:val="24"/>
                <w:shd w:val="clear" w:color="auto" w:fill="FFFFFF"/>
                <w:lang w:eastAsia="zh-CN" w:bidi="ar"/>
              </w:rPr>
              <w:t>打印机</w:t>
            </w:r>
            <w:r>
              <w:rPr>
                <w:rFonts w:hint="eastAsia" w:ascii="仿宋_GB2312" w:hAnsi="仿宋_GB2312" w:eastAsia="仿宋_GB2312" w:cs="仿宋_GB2312"/>
                <w:kern w:val="0"/>
                <w:sz w:val="24"/>
                <w:shd w:val="clear" w:color="auto" w:fill="FFFFFF"/>
                <w:lang w:bidi="ar"/>
              </w:rPr>
              <w:t>；</w:t>
            </w:r>
          </w:p>
          <w:p w14:paraId="1F3FF21C">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val="en-US" w:eastAsia="zh-CN" w:bidi="ar"/>
              </w:rPr>
              <w:t>2.</w:t>
            </w:r>
            <w:r>
              <w:rPr>
                <w:rFonts w:hint="eastAsia" w:ascii="仿宋_GB2312" w:hAnsi="仿宋_GB2312" w:eastAsia="仿宋_GB2312" w:cs="仿宋_GB2312"/>
                <w:kern w:val="0"/>
                <w:sz w:val="24"/>
                <w:shd w:val="clear" w:color="auto" w:fill="FFFFFF"/>
                <w:lang w:bidi="ar"/>
              </w:rPr>
              <w:t>打印速度：黑白20PPM、彩色20PPM</w:t>
            </w:r>
            <w:r>
              <w:rPr>
                <w:rFonts w:hint="eastAsia" w:ascii="仿宋_GB2312" w:hAnsi="仿宋_GB2312" w:eastAsia="仿宋_GB2312" w:cs="仿宋_GB2312"/>
                <w:kern w:val="0"/>
                <w:sz w:val="24"/>
                <w:shd w:val="clear" w:color="auto" w:fill="FFFFFF"/>
                <w:lang w:eastAsia="zh-CN" w:bidi="ar"/>
              </w:rPr>
              <w:t>；</w:t>
            </w:r>
          </w:p>
          <w:p w14:paraId="69D46170">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val="en-US" w:eastAsia="zh-CN" w:bidi="ar"/>
              </w:rPr>
              <w:t>3.</w:t>
            </w:r>
            <w:r>
              <w:rPr>
                <w:rFonts w:hint="eastAsia" w:ascii="仿宋_GB2312" w:hAnsi="仿宋_GB2312" w:eastAsia="仿宋_GB2312" w:cs="仿宋_GB2312"/>
                <w:kern w:val="0"/>
                <w:sz w:val="24"/>
                <w:shd w:val="clear" w:color="auto" w:fill="FFFFFF"/>
                <w:lang w:bidi="ar"/>
              </w:rPr>
              <w:t xml:space="preserve">打印技术：鼓粉一体； </w:t>
            </w:r>
          </w:p>
          <w:p w14:paraId="461AD38E">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val="en-US" w:eastAsia="zh-CN" w:bidi="ar"/>
              </w:rPr>
              <w:t>4.</w:t>
            </w:r>
            <w:r>
              <w:rPr>
                <w:rFonts w:hint="eastAsia" w:ascii="仿宋_GB2312" w:hAnsi="仿宋_GB2312" w:eastAsia="仿宋_GB2312" w:cs="仿宋_GB2312"/>
                <w:kern w:val="0"/>
                <w:sz w:val="24"/>
                <w:shd w:val="clear" w:color="auto" w:fill="FFFFFF"/>
                <w:lang w:bidi="ar"/>
              </w:rPr>
              <w:t>打印内存：512M</w:t>
            </w:r>
            <w:r>
              <w:rPr>
                <w:rFonts w:hint="eastAsia" w:ascii="仿宋_GB2312" w:hAnsi="仿宋_GB2312" w:eastAsia="仿宋_GB2312" w:cs="仿宋_GB2312"/>
                <w:kern w:val="0"/>
                <w:sz w:val="24"/>
                <w:shd w:val="clear" w:color="auto" w:fill="FFFFFF"/>
                <w:lang w:val="en-US" w:eastAsia="zh-CN" w:bidi="ar"/>
              </w:rPr>
              <w:t>B</w:t>
            </w:r>
            <w:r>
              <w:rPr>
                <w:rFonts w:hint="eastAsia" w:ascii="仿宋_GB2312" w:hAnsi="仿宋_GB2312" w:eastAsia="仿宋_GB2312" w:cs="仿宋_GB2312"/>
                <w:kern w:val="0"/>
                <w:sz w:val="24"/>
                <w:shd w:val="clear" w:color="auto" w:fill="FFFFFF"/>
                <w:lang w:bidi="ar"/>
              </w:rPr>
              <w:t xml:space="preserve">；CPU：833MHZ； </w:t>
            </w:r>
          </w:p>
          <w:p w14:paraId="0E32D132">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val="en-US" w:eastAsia="zh-CN" w:bidi="ar"/>
              </w:rPr>
              <w:t>5.</w:t>
            </w:r>
            <w:r>
              <w:rPr>
                <w:rFonts w:hint="eastAsia" w:ascii="仿宋_GB2312" w:hAnsi="仿宋_GB2312" w:eastAsia="仿宋_GB2312" w:cs="仿宋_GB2312"/>
                <w:kern w:val="0"/>
                <w:sz w:val="24"/>
                <w:shd w:val="clear" w:color="auto" w:fill="FFFFFF"/>
                <w:lang w:bidi="ar"/>
              </w:rPr>
              <w:t>双面打印：</w:t>
            </w:r>
            <w:r>
              <w:rPr>
                <w:rFonts w:hint="eastAsia" w:ascii="仿宋_GB2312" w:hAnsi="仿宋_GB2312" w:eastAsia="仿宋_GB2312" w:cs="仿宋_GB2312"/>
                <w:kern w:val="0"/>
                <w:sz w:val="24"/>
                <w:shd w:val="clear" w:color="auto" w:fill="FFFFFF"/>
                <w:lang w:val="en-US" w:eastAsia="zh-CN" w:bidi="ar"/>
              </w:rPr>
              <w:t>支持；</w:t>
            </w:r>
            <w:r>
              <w:rPr>
                <w:rFonts w:hint="eastAsia" w:ascii="仿宋_GB2312" w:hAnsi="仿宋_GB2312" w:eastAsia="仿宋_GB2312" w:cs="仿宋_GB2312"/>
                <w:kern w:val="0"/>
                <w:sz w:val="24"/>
                <w:shd w:val="clear" w:color="auto" w:fill="FFFFFF"/>
                <w:lang w:bidi="ar"/>
              </w:rPr>
              <w:t xml:space="preserve">标配自动双面打印； </w:t>
            </w:r>
          </w:p>
          <w:p w14:paraId="144EB5CF">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val="en-US" w:eastAsia="zh-CN" w:bidi="ar"/>
              </w:rPr>
              <w:t>6.</w:t>
            </w:r>
            <w:r>
              <w:rPr>
                <w:rFonts w:hint="eastAsia" w:ascii="仿宋_GB2312" w:hAnsi="仿宋_GB2312" w:eastAsia="仿宋_GB2312" w:cs="仿宋_GB2312"/>
                <w:kern w:val="0"/>
                <w:sz w:val="24"/>
                <w:shd w:val="clear" w:color="auto" w:fill="FFFFFF"/>
                <w:lang w:bidi="ar"/>
              </w:rPr>
              <w:t>网络打印：</w:t>
            </w:r>
            <w:r>
              <w:rPr>
                <w:rFonts w:hint="eastAsia" w:ascii="仿宋_GB2312" w:hAnsi="仿宋_GB2312" w:eastAsia="仿宋_GB2312" w:cs="仿宋_GB2312"/>
                <w:kern w:val="0"/>
                <w:sz w:val="24"/>
                <w:shd w:val="clear" w:color="auto" w:fill="FFFFFF"/>
                <w:lang w:val="en-US" w:eastAsia="zh-CN" w:bidi="ar"/>
              </w:rPr>
              <w:t>支持；</w:t>
            </w:r>
            <w:r>
              <w:rPr>
                <w:rFonts w:hint="eastAsia" w:ascii="仿宋_GB2312" w:hAnsi="仿宋_GB2312" w:eastAsia="仿宋_GB2312" w:cs="仿宋_GB2312"/>
                <w:kern w:val="0"/>
                <w:sz w:val="24"/>
                <w:shd w:val="clear" w:color="auto" w:fill="FFFFFF"/>
                <w:lang w:bidi="ar"/>
              </w:rPr>
              <w:t>标配网络接口；</w:t>
            </w:r>
          </w:p>
          <w:p w14:paraId="26D47529">
            <w:pPr>
              <w:jc w:val="left"/>
              <w:rPr>
                <w:rFonts w:hint="eastAsia"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 xml:space="preserve">7.打印语言：GDI </w:t>
            </w:r>
          </w:p>
          <w:p w14:paraId="0DA4E26D">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val="en-US" w:eastAsia="zh-CN" w:bidi="ar"/>
              </w:rPr>
              <w:t>8.</w:t>
            </w:r>
            <w:r>
              <w:rPr>
                <w:rFonts w:hint="eastAsia" w:ascii="仿宋_GB2312" w:hAnsi="仿宋_GB2312" w:eastAsia="仿宋_GB2312" w:cs="仿宋_GB2312"/>
                <w:kern w:val="0"/>
                <w:sz w:val="24"/>
                <w:shd w:val="clear" w:color="auto" w:fill="FFFFFF"/>
                <w:lang w:bidi="ar"/>
              </w:rPr>
              <w:t>操作系统:</w:t>
            </w:r>
            <w:r>
              <w:rPr>
                <w:rFonts w:hint="eastAsia" w:ascii="仿宋_GB2312" w:hAnsi="仿宋_GB2312" w:eastAsia="仿宋_GB2312" w:cs="仿宋_GB2312"/>
                <w:kern w:val="0"/>
                <w:sz w:val="24"/>
                <w:shd w:val="clear" w:color="auto" w:fill="FFFFFF"/>
                <w:lang w:val="en-US" w:eastAsia="zh-CN" w:bidi="ar"/>
              </w:rPr>
              <w:t>适配国产操作系统生态、</w:t>
            </w:r>
            <w:r>
              <w:rPr>
                <w:rFonts w:hint="eastAsia" w:ascii="仿宋_GB2312" w:hAnsi="仿宋_GB2312" w:eastAsia="仿宋_GB2312" w:cs="仿宋_GB2312"/>
                <w:kern w:val="0"/>
                <w:sz w:val="24"/>
                <w:shd w:val="clear" w:color="auto" w:fill="FFFFFF"/>
                <w:lang w:bidi="ar"/>
              </w:rPr>
              <w:t>Windows、MacOS、Linux</w:t>
            </w:r>
            <w:r>
              <w:rPr>
                <w:rFonts w:hint="eastAsia" w:ascii="仿宋_GB2312" w:hAnsi="仿宋_GB2312" w:eastAsia="仿宋_GB2312" w:cs="仿宋_GB2312"/>
                <w:kern w:val="0"/>
                <w:sz w:val="24"/>
                <w:shd w:val="clear" w:color="auto" w:fill="FFFFFF"/>
                <w:lang w:eastAsia="zh-CN" w:bidi="ar"/>
              </w:rPr>
              <w:t>、</w:t>
            </w:r>
            <w:r>
              <w:rPr>
                <w:rFonts w:hint="eastAsia" w:ascii="仿宋_GB2312" w:hAnsi="仿宋_GB2312" w:eastAsia="仿宋_GB2312" w:cs="仿宋_GB2312"/>
                <w:kern w:val="0"/>
                <w:sz w:val="24"/>
                <w:shd w:val="clear" w:color="auto" w:fill="FFFFFF"/>
                <w:lang w:bidi="ar"/>
              </w:rPr>
              <w:t>Google Chrome、Andriod,Harmony</w:t>
            </w:r>
          </w:p>
          <w:p w14:paraId="0A2DC8AB">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val="en-US" w:eastAsia="zh-CN" w:bidi="ar"/>
              </w:rPr>
              <w:t>9.</w:t>
            </w:r>
            <w:r>
              <w:rPr>
                <w:rFonts w:hint="eastAsia" w:ascii="仿宋_GB2312" w:hAnsi="仿宋_GB2312" w:eastAsia="仿宋_GB2312" w:cs="仿宋_GB2312"/>
                <w:kern w:val="0"/>
                <w:sz w:val="24"/>
                <w:shd w:val="clear" w:color="auto" w:fill="FFFFFF"/>
                <w:lang w:bidi="ar"/>
              </w:rPr>
              <w:t>分辨率：600×600dpi；</w:t>
            </w:r>
          </w:p>
          <w:p w14:paraId="5B9E0460">
            <w:pPr>
              <w:jc w:val="left"/>
              <w:rPr>
                <w:rFonts w:hint="default"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10.</w:t>
            </w:r>
            <w:r>
              <w:rPr>
                <w:rFonts w:hint="eastAsia" w:ascii="仿宋_GB2312" w:hAnsi="仿宋_GB2312" w:eastAsia="仿宋_GB2312" w:cs="仿宋_GB2312"/>
                <w:kern w:val="0"/>
                <w:sz w:val="24"/>
                <w:shd w:val="clear" w:color="auto" w:fill="FFFFFF"/>
                <w:lang w:bidi="ar"/>
              </w:rPr>
              <w:t>最大月打印量:30000页</w:t>
            </w:r>
            <w:r>
              <w:rPr>
                <w:rFonts w:hint="eastAsia" w:ascii="仿宋_GB2312" w:hAnsi="仿宋_GB2312" w:eastAsia="仿宋_GB2312" w:cs="仿宋_GB2312"/>
                <w:kern w:val="0"/>
                <w:sz w:val="24"/>
                <w:shd w:val="clear" w:color="auto" w:fill="FFFFFF"/>
                <w:lang w:eastAsia="zh-CN" w:bidi="ar"/>
              </w:rPr>
              <w:t>（打印月负荷</w:t>
            </w:r>
            <w:r>
              <w:rPr>
                <w:rFonts w:hint="eastAsia" w:ascii="仿宋_GB2312" w:hAnsi="仿宋_GB2312" w:eastAsia="仿宋_GB2312" w:cs="仿宋_GB2312"/>
                <w:kern w:val="0"/>
                <w:sz w:val="24"/>
                <w:shd w:val="clear" w:color="auto" w:fill="FFFFFF"/>
                <w:lang w:val="en-US" w:eastAsia="zh-CN" w:bidi="ar"/>
              </w:rPr>
              <w:t>不小于30000页）9.</w:t>
            </w:r>
            <w:r>
              <w:rPr>
                <w:rFonts w:hint="eastAsia" w:ascii="仿宋_GB2312" w:hAnsi="仿宋_GB2312" w:eastAsia="仿宋_GB2312" w:cs="仿宋_GB2312"/>
                <w:kern w:val="0"/>
                <w:sz w:val="24"/>
                <w:shd w:val="clear" w:color="auto" w:fill="FFFFFF"/>
                <w:lang w:bidi="ar"/>
              </w:rPr>
              <w:t>首页输出：黑白等于或小于10秒；</w:t>
            </w:r>
            <w:r>
              <w:rPr>
                <w:rFonts w:hint="eastAsia" w:ascii="仿宋_GB2312" w:hAnsi="仿宋_GB2312" w:eastAsia="仿宋_GB2312" w:cs="仿宋_GB2312"/>
                <w:kern w:val="0"/>
                <w:sz w:val="24"/>
                <w:shd w:val="clear" w:color="auto" w:fill="FFFFFF"/>
                <w:lang w:eastAsia="zh-CN" w:bidi="ar"/>
              </w:rPr>
              <w:t>（</w:t>
            </w:r>
            <w:r>
              <w:rPr>
                <w:rFonts w:hint="eastAsia" w:ascii="仿宋_GB2312" w:hAnsi="仿宋_GB2312" w:eastAsia="仿宋_GB2312" w:cs="仿宋_GB2312"/>
                <w:kern w:val="0"/>
                <w:sz w:val="24"/>
                <w:shd w:val="clear" w:color="auto" w:fill="FFFFFF"/>
                <w:lang w:bidi="ar"/>
              </w:rPr>
              <w:t>首页打印时间:黑白 10S、彩色 12s</w:t>
            </w:r>
            <w:r>
              <w:rPr>
                <w:rFonts w:hint="eastAsia" w:ascii="仿宋_GB2312" w:hAnsi="仿宋_GB2312" w:eastAsia="仿宋_GB2312" w:cs="仿宋_GB2312"/>
                <w:kern w:val="0"/>
                <w:sz w:val="24"/>
                <w:shd w:val="clear" w:color="auto" w:fill="FFFFFF"/>
                <w:lang w:eastAsia="zh-CN" w:bidi="ar"/>
              </w:rPr>
              <w:t>）</w:t>
            </w:r>
          </w:p>
          <w:p w14:paraId="1C318997">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val="en-US" w:eastAsia="zh-CN" w:bidi="ar"/>
              </w:rPr>
              <w:t>11.</w:t>
            </w:r>
            <w:r>
              <w:rPr>
                <w:rFonts w:hint="eastAsia" w:ascii="仿宋_GB2312" w:hAnsi="仿宋_GB2312" w:eastAsia="仿宋_GB2312" w:cs="仿宋_GB2312"/>
                <w:kern w:val="0"/>
                <w:sz w:val="24"/>
                <w:shd w:val="clear" w:color="auto" w:fill="FFFFFF"/>
                <w:lang w:bidi="ar"/>
              </w:rPr>
              <w:t>其他功能:</w:t>
            </w:r>
            <w:r>
              <w:rPr>
                <w:rFonts w:hint="eastAsia" w:ascii="仿宋_GB2312" w:hAnsi="仿宋_GB2312" w:eastAsia="仿宋_GB2312" w:cs="仿宋_GB2312"/>
                <w:kern w:val="0"/>
                <w:sz w:val="24"/>
                <w:shd w:val="clear" w:color="auto" w:fill="FFFFFF"/>
                <w:lang w:val="en-US" w:eastAsia="zh-CN" w:bidi="ar"/>
              </w:rPr>
              <w:t xml:space="preserve"> 局域网络多人共享打印、</w:t>
            </w:r>
            <w:r>
              <w:rPr>
                <w:rFonts w:hint="eastAsia" w:ascii="仿宋_GB2312" w:hAnsi="仿宋_GB2312" w:eastAsia="仿宋_GB2312" w:cs="仿宋_GB2312"/>
                <w:kern w:val="0"/>
                <w:sz w:val="24"/>
                <w:shd w:val="clear" w:color="auto" w:fill="FFFFFF"/>
                <w:lang w:bidi="ar"/>
              </w:rPr>
              <w:t>多页合一打印、海报打印、水印打印、</w:t>
            </w:r>
          </w:p>
          <w:p w14:paraId="3DC8766A">
            <w:pPr>
              <w:jc w:val="left"/>
              <w:rPr>
                <w:rFonts w:hint="eastAsia" w:ascii="仿宋_GB2312" w:hAnsi="仿宋_GB2312" w:eastAsia="仿宋_GB2312" w:cs="仿宋_GB2312"/>
                <w:kern w:val="0"/>
                <w:sz w:val="24"/>
                <w:shd w:val="clear" w:color="auto" w:fill="FFFFFF"/>
                <w:lang w:eastAsia="zh-CN" w:bidi="ar"/>
              </w:rPr>
            </w:pPr>
            <w:r>
              <w:rPr>
                <w:rFonts w:hint="eastAsia" w:ascii="仿宋_GB2312" w:hAnsi="仿宋_GB2312" w:eastAsia="仿宋_GB2312" w:cs="仿宋_GB2312"/>
                <w:kern w:val="0"/>
                <w:sz w:val="24"/>
                <w:shd w:val="clear" w:color="auto" w:fill="FFFFFF"/>
                <w:lang w:bidi="ar"/>
              </w:rPr>
              <w:t>小册子打印、红色增强打印、水印打印、静音打印</w:t>
            </w:r>
          </w:p>
          <w:p w14:paraId="63B318C0">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val="en-US" w:eastAsia="zh-CN" w:bidi="ar"/>
              </w:rPr>
              <w:t>12.</w:t>
            </w:r>
            <w:r>
              <w:rPr>
                <w:rFonts w:hint="eastAsia" w:ascii="仿宋_GB2312" w:hAnsi="仿宋_GB2312" w:eastAsia="仿宋_GB2312" w:cs="仿宋_GB2312"/>
                <w:kern w:val="0"/>
                <w:sz w:val="24"/>
                <w:shd w:val="clear" w:color="auto" w:fill="FFFFFF"/>
                <w:lang w:bidi="ar"/>
              </w:rPr>
              <w:t>骑缝章打印功</w:t>
            </w:r>
            <w:r>
              <w:rPr>
                <w:rFonts w:hint="eastAsia" w:ascii="仿宋_GB2312" w:hAnsi="仿宋_GB2312" w:eastAsia="仿宋_GB2312" w:cs="仿宋_GB2312"/>
                <w:kern w:val="0"/>
                <w:sz w:val="24"/>
                <w:shd w:val="clear" w:color="auto" w:fill="FFFFFF"/>
                <w:lang w:eastAsia="zh-CN" w:bidi="ar"/>
              </w:rPr>
              <w:t>能，内置</w:t>
            </w:r>
            <w:r>
              <w:rPr>
                <w:rFonts w:hint="eastAsia" w:ascii="仿宋_GB2312" w:hAnsi="仿宋_GB2312" w:eastAsia="仿宋_GB2312" w:cs="仿宋_GB2312"/>
                <w:kern w:val="0"/>
                <w:sz w:val="24"/>
                <w:shd w:val="clear" w:color="auto" w:fill="FFFFFF"/>
                <w:lang w:val="en-US" w:eastAsia="zh-CN" w:bidi="ar"/>
              </w:rPr>
              <w:t>100种以上标准红色可选；</w:t>
            </w:r>
          </w:p>
          <w:p w14:paraId="3870CF52">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val="en-US" w:eastAsia="zh-CN" w:bidi="ar"/>
              </w:rPr>
              <w:t>13.</w:t>
            </w:r>
            <w:r>
              <w:rPr>
                <w:rFonts w:hint="eastAsia" w:ascii="仿宋_GB2312" w:hAnsi="仿宋_GB2312" w:eastAsia="仿宋_GB2312" w:cs="仿宋_GB2312"/>
                <w:kern w:val="0"/>
                <w:sz w:val="24"/>
                <w:shd w:val="clear" w:color="auto" w:fill="FFFFFF"/>
                <w:lang w:bidi="ar"/>
              </w:rPr>
              <w:t>控制面板：标配</w:t>
            </w:r>
            <w:r>
              <w:rPr>
                <w:rFonts w:hint="eastAsia" w:ascii="仿宋_GB2312" w:hAnsi="仿宋_GB2312" w:eastAsia="仿宋_GB2312" w:cs="仿宋_GB2312"/>
                <w:kern w:val="0"/>
                <w:sz w:val="24"/>
                <w:shd w:val="clear" w:color="auto" w:fill="FFFFFF"/>
                <w:lang w:val="en-US" w:eastAsia="zh-CN" w:bidi="ar"/>
              </w:rPr>
              <w:t>LED显示屏</w:t>
            </w:r>
            <w:r>
              <w:rPr>
                <w:rFonts w:hint="eastAsia" w:ascii="仿宋_GB2312" w:hAnsi="仿宋_GB2312" w:eastAsia="仿宋_GB2312" w:cs="仿宋_GB2312"/>
                <w:kern w:val="0"/>
                <w:sz w:val="24"/>
                <w:shd w:val="clear" w:color="auto" w:fill="FFFFFF"/>
                <w:lang w:bidi="ar"/>
              </w:rPr>
              <w:t>；</w:t>
            </w:r>
          </w:p>
          <w:p w14:paraId="4F0B5A48">
            <w:pPr>
              <w:jc w:val="left"/>
              <w:rPr>
                <w:rFonts w:hint="eastAsia" w:ascii="仿宋_GB2312" w:hAnsi="仿宋_GB2312" w:eastAsia="仿宋_GB2312" w:cs="仿宋_GB2312"/>
                <w:kern w:val="0"/>
                <w:sz w:val="24"/>
                <w:shd w:val="clear" w:color="auto" w:fill="FFFFFF"/>
                <w:lang w:eastAsia="zh-CN" w:bidi="ar"/>
              </w:rPr>
            </w:pPr>
            <w:r>
              <w:rPr>
                <w:rFonts w:hint="eastAsia" w:ascii="仿宋_GB2312" w:hAnsi="仿宋_GB2312" w:eastAsia="仿宋_GB2312" w:cs="仿宋_GB2312"/>
                <w:kern w:val="0"/>
                <w:sz w:val="24"/>
                <w:shd w:val="clear" w:color="auto" w:fill="FFFFFF"/>
                <w:lang w:val="en-US" w:eastAsia="zh-CN" w:bidi="ar"/>
              </w:rPr>
              <w:t>14.</w:t>
            </w:r>
            <w:r>
              <w:rPr>
                <w:rFonts w:hint="eastAsia" w:ascii="仿宋_GB2312" w:hAnsi="仿宋_GB2312" w:eastAsia="仿宋_GB2312" w:cs="仿宋_GB2312"/>
                <w:kern w:val="0"/>
                <w:sz w:val="24"/>
                <w:shd w:val="clear" w:color="auto" w:fill="FFFFFF"/>
                <w:lang w:bidi="ar"/>
              </w:rPr>
              <w:t>纸张输入容量:最大进纸容量:251页</w:t>
            </w:r>
            <w:r>
              <w:rPr>
                <w:rFonts w:hint="eastAsia" w:ascii="仿宋_GB2312" w:hAnsi="仿宋_GB2312" w:eastAsia="仿宋_GB2312" w:cs="仿宋_GB2312"/>
                <w:kern w:val="0"/>
                <w:sz w:val="24"/>
                <w:shd w:val="clear" w:color="auto" w:fill="FFFFFF"/>
                <w:lang w:eastAsia="zh-CN" w:bidi="ar"/>
              </w:rPr>
              <w:t>（</w:t>
            </w:r>
            <w:r>
              <w:rPr>
                <w:rFonts w:hint="eastAsia" w:ascii="仿宋_GB2312" w:hAnsi="仿宋_GB2312" w:eastAsia="仿宋_GB2312" w:cs="仿宋_GB2312"/>
                <w:kern w:val="0"/>
                <w:sz w:val="24"/>
                <w:shd w:val="clear" w:color="auto" w:fill="FFFFFF"/>
                <w:lang w:bidi="ar"/>
              </w:rPr>
              <w:t>标准进纸容量:250页</w:t>
            </w:r>
            <w:r>
              <w:rPr>
                <w:rFonts w:hint="eastAsia" w:ascii="仿宋_GB2312" w:hAnsi="仿宋_GB2312" w:eastAsia="仿宋_GB2312" w:cs="仿宋_GB2312"/>
                <w:kern w:val="0"/>
                <w:sz w:val="24"/>
                <w:shd w:val="clear" w:color="auto" w:fill="FFFFFF"/>
                <w:lang w:eastAsia="zh-CN" w:bidi="ar"/>
              </w:rPr>
              <w:t>，</w:t>
            </w:r>
            <w:r>
              <w:rPr>
                <w:rFonts w:hint="eastAsia" w:ascii="仿宋_GB2312" w:hAnsi="仿宋_GB2312" w:eastAsia="仿宋_GB2312" w:cs="仿宋_GB2312"/>
                <w:kern w:val="0"/>
                <w:sz w:val="24"/>
                <w:shd w:val="clear" w:color="auto" w:fill="FFFFFF"/>
                <w:lang w:bidi="ar"/>
              </w:rPr>
              <w:t>多功能进纸容量:1页</w:t>
            </w:r>
            <w:r>
              <w:rPr>
                <w:rFonts w:hint="eastAsia" w:ascii="仿宋_GB2312" w:hAnsi="仿宋_GB2312" w:eastAsia="仿宋_GB2312" w:cs="仿宋_GB2312"/>
                <w:kern w:val="0"/>
                <w:sz w:val="24"/>
                <w:shd w:val="clear" w:color="auto" w:fill="FFFFFF"/>
                <w:lang w:eastAsia="zh-CN" w:bidi="ar"/>
              </w:rPr>
              <w:t>）</w:t>
            </w:r>
          </w:p>
          <w:p w14:paraId="174B210F">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纸张输出容量:标准出纸容量:100页，最大出纸容量:100页介质类型:薄纸/普通纸/厚纸/信封/卡片/标签/透明胶片介质重量范围:标准盒:60g~105g/n多功能纸盒:60g~200g/m双面打印:70g~105g/㎡</w:t>
            </w:r>
          </w:p>
          <w:p w14:paraId="2BE10FB2">
            <w:pPr>
              <w:jc w:val="left"/>
              <w:rPr>
                <w:rFonts w:hint="eastAsia"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15.</w:t>
            </w:r>
            <w:r>
              <w:rPr>
                <w:rFonts w:hint="eastAsia" w:ascii="仿宋_GB2312" w:hAnsi="仿宋_GB2312" w:eastAsia="仿宋_GB2312" w:cs="仿宋_GB2312"/>
                <w:kern w:val="0"/>
                <w:sz w:val="24"/>
                <w:shd w:val="clear" w:color="auto" w:fill="FFFFFF"/>
                <w:lang w:eastAsia="zh-CN" w:bidi="ar"/>
              </w:rPr>
              <w:t>能效等级：一级能耗；</w:t>
            </w:r>
            <w:r>
              <w:rPr>
                <w:rFonts w:hint="eastAsia" w:ascii="仿宋_GB2312" w:hAnsi="仿宋_GB2312" w:eastAsia="仿宋_GB2312" w:cs="仿宋_GB2312"/>
                <w:kern w:val="0"/>
                <w:sz w:val="24"/>
                <w:shd w:val="clear" w:color="auto" w:fill="FFFFFF"/>
                <w:lang w:bidi="ar"/>
              </w:rPr>
              <w:t>噪音:等待(休眠/就绪/待机):≤30dBA打印(预热):&lt;54dBA,静音</w:t>
            </w:r>
            <w:r>
              <w:rPr>
                <w:rFonts w:hint="eastAsia" w:ascii="仿宋_GB2312" w:hAnsi="仿宋_GB2312" w:eastAsia="仿宋_GB2312" w:cs="仿宋_GB2312"/>
                <w:kern w:val="0"/>
                <w:sz w:val="24"/>
                <w:shd w:val="clear" w:color="auto" w:fill="FFFFFF"/>
                <w:lang w:val="en-US" w:eastAsia="zh-CN" w:bidi="ar"/>
              </w:rPr>
              <w:t>模</w:t>
            </w:r>
            <w:r>
              <w:rPr>
                <w:rFonts w:hint="eastAsia" w:ascii="仿宋_GB2312" w:hAnsi="仿宋_GB2312" w:eastAsia="仿宋_GB2312" w:cs="仿宋_GB2312"/>
                <w:kern w:val="0"/>
                <w:sz w:val="24"/>
                <w:shd w:val="clear" w:color="auto" w:fill="FFFFFF"/>
                <w:lang w:bidi="ar"/>
              </w:rPr>
              <w:t>式:&lt;50dBA功耗:打印:≤380W,就绪/待机:&lt;5W,休眠:&lt;2W,关机:&lt;0.5W</w:t>
            </w:r>
          </w:p>
          <w:p w14:paraId="690994DC">
            <w:pPr>
              <w:jc w:val="left"/>
              <w:rPr>
                <w:rFonts w:hint="eastAsia"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16.</w:t>
            </w:r>
            <w:r>
              <w:rPr>
                <w:rFonts w:hint="eastAsia" w:ascii="仿宋_GB2312" w:hAnsi="仿宋_GB2312" w:eastAsia="仿宋_GB2312" w:cs="仿宋_GB2312"/>
                <w:kern w:val="0"/>
                <w:sz w:val="24"/>
                <w:shd w:val="clear" w:color="auto" w:fill="FFFFFF"/>
                <w:lang w:eastAsia="zh-CN" w:bidi="ar"/>
              </w:rPr>
              <w:t>随机耗材</w:t>
            </w:r>
            <w:r>
              <w:rPr>
                <w:rFonts w:hint="eastAsia" w:ascii="仿宋_GB2312" w:hAnsi="仿宋_GB2312" w:eastAsia="仿宋_GB2312" w:cs="仿宋_GB2312"/>
                <w:kern w:val="0"/>
                <w:sz w:val="24"/>
                <w:shd w:val="clear" w:color="auto" w:fill="FFFFFF"/>
                <w:lang w:val="en-US" w:eastAsia="zh-CN" w:bidi="ar"/>
              </w:rPr>
              <w:t>容量</w:t>
            </w:r>
            <w:r>
              <w:rPr>
                <w:rFonts w:hint="eastAsia" w:ascii="仿宋_GB2312" w:hAnsi="仿宋_GB2312" w:eastAsia="仿宋_GB2312" w:cs="仿宋_GB2312"/>
                <w:kern w:val="0"/>
                <w:sz w:val="24"/>
                <w:shd w:val="clear" w:color="auto" w:fill="FFFFFF"/>
                <w:lang w:eastAsia="zh-CN" w:bidi="ar"/>
              </w:rPr>
              <w:t>黑彩不低于</w:t>
            </w:r>
            <w:r>
              <w:rPr>
                <w:rFonts w:hint="eastAsia" w:ascii="仿宋_GB2312" w:hAnsi="仿宋_GB2312" w:eastAsia="仿宋_GB2312" w:cs="仿宋_GB2312"/>
                <w:kern w:val="0"/>
                <w:sz w:val="24"/>
                <w:shd w:val="clear" w:color="auto" w:fill="FFFFFF"/>
                <w:lang w:val="en-US" w:eastAsia="zh-CN" w:bidi="ar"/>
              </w:rPr>
              <w:t>1000页；</w:t>
            </w:r>
          </w:p>
          <w:p w14:paraId="70086246">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val="en-US" w:eastAsia="zh-CN" w:bidi="ar"/>
              </w:rPr>
              <w:t>17.</w:t>
            </w:r>
            <w:r>
              <w:rPr>
                <w:rFonts w:hint="eastAsia" w:ascii="仿宋_GB2312" w:hAnsi="仿宋_GB2312" w:eastAsia="仿宋_GB2312" w:cs="仿宋_GB2312"/>
                <w:kern w:val="0"/>
                <w:sz w:val="24"/>
                <w:shd w:val="clear" w:color="auto" w:fill="FFFFFF"/>
                <w:lang w:eastAsia="zh-CN" w:bidi="ar"/>
              </w:rPr>
              <w:t>彩色墨粉寿命尽，可以继续用黑粉进行黑白打印文件；</w:t>
            </w:r>
          </w:p>
        </w:tc>
        <w:tc>
          <w:tcPr>
            <w:tcW w:w="765" w:type="dxa"/>
            <w:vAlign w:val="center"/>
          </w:tcPr>
          <w:p w14:paraId="3E9E664A">
            <w:pPr>
              <w:jc w:val="center"/>
              <w:rPr>
                <w:rFonts w:hint="default"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1</w:t>
            </w:r>
          </w:p>
        </w:tc>
        <w:tc>
          <w:tcPr>
            <w:tcW w:w="765" w:type="dxa"/>
            <w:vAlign w:val="center"/>
          </w:tcPr>
          <w:p w14:paraId="3104B322">
            <w:pPr>
              <w:jc w:val="center"/>
              <w:rPr>
                <w:rFonts w:hint="eastAsia"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台</w:t>
            </w:r>
          </w:p>
        </w:tc>
      </w:tr>
      <w:tr w14:paraId="4519B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Merge w:val="restart"/>
            <w:vAlign w:val="center"/>
          </w:tcPr>
          <w:p w14:paraId="22F86DE0">
            <w:pPr>
              <w:jc w:val="center"/>
              <w:rPr>
                <w:rFonts w:hint="eastAsia" w:ascii="仿宋_GB2312" w:hAnsi="仿宋_GB2312" w:eastAsia="仿宋_GB2312" w:cs="仿宋_GB2312"/>
                <w:kern w:val="0"/>
                <w:sz w:val="24"/>
                <w:shd w:val="clear" w:color="auto" w:fill="FFFFFF"/>
                <w:lang w:val="en-US" w:eastAsia="zh-CN" w:bidi="ar"/>
              </w:rPr>
            </w:pPr>
            <w:bookmarkStart w:id="0" w:name="_GoBack" w:colFirst="1" w:colLast="1"/>
            <w:r>
              <w:rPr>
                <w:rFonts w:hint="eastAsia" w:ascii="仿宋_GB2312" w:hAnsi="仿宋_GB2312" w:eastAsia="仿宋_GB2312" w:cs="仿宋_GB2312"/>
                <w:kern w:val="0"/>
                <w:sz w:val="24"/>
                <w:shd w:val="clear" w:color="auto" w:fill="FFFFFF"/>
                <w:lang w:val="en-US" w:eastAsia="zh-CN" w:bidi="ar"/>
              </w:rPr>
              <w:t>8</w:t>
            </w:r>
          </w:p>
        </w:tc>
        <w:tc>
          <w:tcPr>
            <w:tcW w:w="1395" w:type="dxa"/>
            <w:vMerge w:val="restart"/>
            <w:vAlign w:val="center"/>
          </w:tcPr>
          <w:p w14:paraId="0ED089DD">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维保服务</w:t>
            </w:r>
          </w:p>
        </w:tc>
        <w:tc>
          <w:tcPr>
            <w:tcW w:w="5520" w:type="dxa"/>
            <w:vAlign w:val="center"/>
          </w:tcPr>
          <w:p w14:paraId="71459C4E">
            <w:pPr>
              <w:jc w:val="left"/>
              <w:rPr>
                <w:rFonts w:hint="eastAsia"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DPtech WAF3000-ME-X WAF特征库3年升级授权</w:t>
            </w:r>
          </w:p>
        </w:tc>
        <w:tc>
          <w:tcPr>
            <w:tcW w:w="765" w:type="dxa"/>
            <w:vMerge w:val="restart"/>
            <w:vAlign w:val="center"/>
          </w:tcPr>
          <w:p w14:paraId="168A3EF2">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3</w:t>
            </w:r>
          </w:p>
        </w:tc>
        <w:tc>
          <w:tcPr>
            <w:tcW w:w="765" w:type="dxa"/>
            <w:vMerge w:val="restart"/>
            <w:vAlign w:val="center"/>
          </w:tcPr>
          <w:p w14:paraId="509D7EE3">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年</w:t>
            </w:r>
          </w:p>
        </w:tc>
      </w:tr>
      <w:tr w14:paraId="23C6D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Merge w:val="continue"/>
            <w:vAlign w:val="center"/>
          </w:tcPr>
          <w:p w14:paraId="062B1A35">
            <w:pPr>
              <w:jc w:val="center"/>
              <w:rPr>
                <w:rFonts w:ascii="仿宋_GB2312" w:hAnsi="仿宋_GB2312" w:eastAsia="仿宋_GB2312" w:cs="仿宋_GB2312"/>
                <w:kern w:val="0"/>
                <w:sz w:val="24"/>
                <w:shd w:val="clear" w:color="auto" w:fill="FFFFFF"/>
                <w:lang w:bidi="ar"/>
              </w:rPr>
            </w:pPr>
          </w:p>
        </w:tc>
        <w:tc>
          <w:tcPr>
            <w:tcW w:w="1395" w:type="dxa"/>
            <w:vMerge w:val="continue"/>
            <w:vAlign w:val="center"/>
          </w:tcPr>
          <w:p w14:paraId="3E99129C">
            <w:pPr>
              <w:jc w:val="center"/>
              <w:rPr>
                <w:rFonts w:ascii="仿宋_GB2312" w:hAnsi="仿宋_GB2312" w:eastAsia="仿宋_GB2312" w:cs="仿宋_GB2312"/>
                <w:kern w:val="0"/>
                <w:sz w:val="24"/>
                <w:shd w:val="clear" w:color="auto" w:fill="FFFFFF"/>
                <w:lang w:bidi="ar"/>
              </w:rPr>
            </w:pPr>
          </w:p>
        </w:tc>
        <w:tc>
          <w:tcPr>
            <w:tcW w:w="5520" w:type="dxa"/>
            <w:vAlign w:val="center"/>
          </w:tcPr>
          <w:p w14:paraId="116BBCB9">
            <w:pPr>
              <w:jc w:val="left"/>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DPtech UAG3000-MA-X,上网行为规则库3年升级授权</w:t>
            </w:r>
          </w:p>
        </w:tc>
        <w:tc>
          <w:tcPr>
            <w:tcW w:w="765" w:type="dxa"/>
            <w:vMerge w:val="continue"/>
            <w:vAlign w:val="center"/>
          </w:tcPr>
          <w:p w14:paraId="6D33B4B6">
            <w:pPr>
              <w:jc w:val="center"/>
              <w:rPr>
                <w:rFonts w:ascii="仿宋_GB2312" w:hAnsi="仿宋_GB2312" w:eastAsia="仿宋_GB2312" w:cs="仿宋_GB2312"/>
                <w:kern w:val="0"/>
                <w:sz w:val="24"/>
                <w:shd w:val="clear" w:color="auto" w:fill="FFFFFF"/>
                <w:lang w:bidi="ar"/>
              </w:rPr>
            </w:pPr>
          </w:p>
        </w:tc>
        <w:tc>
          <w:tcPr>
            <w:tcW w:w="765" w:type="dxa"/>
            <w:vMerge w:val="continue"/>
            <w:vAlign w:val="center"/>
          </w:tcPr>
          <w:p w14:paraId="73A88A19">
            <w:pPr>
              <w:jc w:val="center"/>
              <w:rPr>
                <w:rFonts w:ascii="仿宋_GB2312" w:hAnsi="仿宋_GB2312" w:eastAsia="仿宋_GB2312" w:cs="仿宋_GB2312"/>
                <w:kern w:val="0"/>
                <w:sz w:val="24"/>
                <w:shd w:val="clear" w:color="auto" w:fill="FFFFFF"/>
                <w:lang w:bidi="ar"/>
              </w:rPr>
            </w:pPr>
          </w:p>
        </w:tc>
      </w:tr>
      <w:tr w14:paraId="4BC26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Merge w:val="continue"/>
            <w:vAlign w:val="center"/>
          </w:tcPr>
          <w:p w14:paraId="1DEBD438">
            <w:pPr>
              <w:jc w:val="center"/>
              <w:rPr>
                <w:rFonts w:ascii="仿宋_GB2312" w:hAnsi="仿宋_GB2312" w:eastAsia="仿宋_GB2312" w:cs="仿宋_GB2312"/>
                <w:kern w:val="0"/>
                <w:sz w:val="24"/>
                <w:shd w:val="clear" w:color="auto" w:fill="FFFFFF"/>
                <w:lang w:bidi="ar"/>
              </w:rPr>
            </w:pPr>
          </w:p>
        </w:tc>
        <w:tc>
          <w:tcPr>
            <w:tcW w:w="1395" w:type="dxa"/>
            <w:vMerge w:val="continue"/>
            <w:vAlign w:val="center"/>
          </w:tcPr>
          <w:p w14:paraId="7B3931C5">
            <w:pPr>
              <w:jc w:val="center"/>
              <w:rPr>
                <w:rFonts w:ascii="仿宋_GB2312" w:hAnsi="仿宋_GB2312" w:eastAsia="仿宋_GB2312" w:cs="仿宋_GB2312"/>
                <w:kern w:val="0"/>
                <w:sz w:val="24"/>
                <w:shd w:val="clear" w:color="auto" w:fill="FFFFFF"/>
                <w:lang w:bidi="ar"/>
              </w:rPr>
            </w:pPr>
          </w:p>
        </w:tc>
        <w:tc>
          <w:tcPr>
            <w:tcW w:w="5520" w:type="dxa"/>
            <w:vAlign w:val="center"/>
          </w:tcPr>
          <w:p w14:paraId="5C375311">
            <w:pPr>
              <w:jc w:val="left"/>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DPtech IPS2000-ME-X,主动防御系统特征库3年升级授权</w:t>
            </w:r>
          </w:p>
        </w:tc>
        <w:tc>
          <w:tcPr>
            <w:tcW w:w="765" w:type="dxa"/>
            <w:vMerge w:val="continue"/>
            <w:vAlign w:val="center"/>
          </w:tcPr>
          <w:p w14:paraId="517AA0CC">
            <w:pPr>
              <w:jc w:val="center"/>
              <w:rPr>
                <w:rFonts w:ascii="仿宋_GB2312" w:hAnsi="仿宋_GB2312" w:eastAsia="仿宋_GB2312" w:cs="仿宋_GB2312"/>
                <w:kern w:val="0"/>
                <w:sz w:val="24"/>
                <w:shd w:val="clear" w:color="auto" w:fill="FFFFFF"/>
                <w:lang w:bidi="ar"/>
              </w:rPr>
            </w:pPr>
          </w:p>
        </w:tc>
        <w:tc>
          <w:tcPr>
            <w:tcW w:w="765" w:type="dxa"/>
            <w:vMerge w:val="continue"/>
            <w:vAlign w:val="center"/>
          </w:tcPr>
          <w:p w14:paraId="687781FB">
            <w:pPr>
              <w:jc w:val="center"/>
              <w:rPr>
                <w:rFonts w:ascii="仿宋_GB2312" w:hAnsi="仿宋_GB2312" w:eastAsia="仿宋_GB2312" w:cs="仿宋_GB2312"/>
                <w:kern w:val="0"/>
                <w:sz w:val="24"/>
                <w:shd w:val="clear" w:color="auto" w:fill="FFFFFF"/>
                <w:lang w:bidi="ar"/>
              </w:rPr>
            </w:pPr>
          </w:p>
        </w:tc>
      </w:tr>
      <w:tr w14:paraId="72274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Merge w:val="restart"/>
            <w:vAlign w:val="center"/>
          </w:tcPr>
          <w:p w14:paraId="7CBBD235">
            <w:pPr>
              <w:jc w:val="center"/>
              <w:rPr>
                <w:rFonts w:hint="eastAsia"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9</w:t>
            </w:r>
          </w:p>
        </w:tc>
        <w:tc>
          <w:tcPr>
            <w:tcW w:w="1395" w:type="dxa"/>
            <w:vMerge w:val="restart"/>
            <w:vAlign w:val="center"/>
          </w:tcPr>
          <w:p w14:paraId="4C7C2461">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等保服务</w:t>
            </w:r>
          </w:p>
          <w:p w14:paraId="518C7115">
            <w:pPr>
              <w:jc w:val="center"/>
              <w:rPr>
                <w:rFonts w:ascii="仿宋_GB2312" w:hAnsi="仿宋_GB2312" w:eastAsia="仿宋_GB2312" w:cs="仿宋_GB2312"/>
                <w:kern w:val="0"/>
                <w:sz w:val="24"/>
                <w:shd w:val="clear" w:color="auto" w:fill="FFFFFF"/>
                <w:lang w:bidi="ar"/>
              </w:rPr>
            </w:pPr>
          </w:p>
        </w:tc>
        <w:tc>
          <w:tcPr>
            <w:tcW w:w="5520" w:type="dxa"/>
            <w:vAlign w:val="center"/>
          </w:tcPr>
          <w:p w14:paraId="13DB1649">
            <w:pPr>
              <w:jc w:val="left"/>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等保2.0标准咨询服务工作资产调研、协助定级备案、协助整改及取得网安部门备案证明</w:t>
            </w:r>
          </w:p>
        </w:tc>
        <w:tc>
          <w:tcPr>
            <w:tcW w:w="765" w:type="dxa"/>
            <w:vMerge w:val="restart"/>
            <w:vAlign w:val="center"/>
          </w:tcPr>
          <w:p w14:paraId="56F2B853">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w:t>
            </w:r>
          </w:p>
        </w:tc>
        <w:tc>
          <w:tcPr>
            <w:tcW w:w="765" w:type="dxa"/>
            <w:vMerge w:val="restart"/>
            <w:vAlign w:val="center"/>
          </w:tcPr>
          <w:p w14:paraId="38961EC5">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项</w:t>
            </w:r>
          </w:p>
        </w:tc>
      </w:tr>
      <w:tr w14:paraId="715DF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Merge w:val="continue"/>
            <w:vAlign w:val="center"/>
          </w:tcPr>
          <w:p w14:paraId="677BFA01">
            <w:pPr>
              <w:jc w:val="center"/>
              <w:rPr>
                <w:rFonts w:ascii="仿宋_GB2312" w:hAnsi="仿宋_GB2312" w:eastAsia="仿宋_GB2312" w:cs="仿宋_GB2312"/>
                <w:kern w:val="0"/>
                <w:sz w:val="24"/>
                <w:shd w:val="clear" w:color="auto" w:fill="FFFFFF"/>
                <w:lang w:bidi="ar"/>
              </w:rPr>
            </w:pPr>
          </w:p>
        </w:tc>
        <w:tc>
          <w:tcPr>
            <w:tcW w:w="1395" w:type="dxa"/>
            <w:vMerge w:val="continue"/>
            <w:vAlign w:val="center"/>
          </w:tcPr>
          <w:p w14:paraId="1A32DCFF">
            <w:pPr>
              <w:jc w:val="center"/>
              <w:rPr>
                <w:rFonts w:ascii="仿宋_GB2312" w:hAnsi="仿宋_GB2312" w:eastAsia="仿宋_GB2312" w:cs="仿宋_GB2312"/>
                <w:kern w:val="0"/>
                <w:sz w:val="24"/>
                <w:shd w:val="clear" w:color="auto" w:fill="FFFFFF"/>
                <w:lang w:bidi="ar"/>
              </w:rPr>
            </w:pPr>
          </w:p>
        </w:tc>
        <w:tc>
          <w:tcPr>
            <w:tcW w:w="5520" w:type="dxa"/>
            <w:vAlign w:val="center"/>
          </w:tcPr>
          <w:p w14:paraId="2C54D3F1">
            <w:pPr>
              <w:jc w:val="left"/>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二级等保测评一项</w:t>
            </w:r>
          </w:p>
        </w:tc>
        <w:tc>
          <w:tcPr>
            <w:tcW w:w="765" w:type="dxa"/>
            <w:vMerge w:val="continue"/>
            <w:vAlign w:val="center"/>
          </w:tcPr>
          <w:p w14:paraId="4D538BF5">
            <w:pPr>
              <w:jc w:val="center"/>
              <w:rPr>
                <w:rFonts w:ascii="仿宋_GB2312" w:hAnsi="仿宋_GB2312" w:eastAsia="仿宋_GB2312" w:cs="仿宋_GB2312"/>
                <w:kern w:val="0"/>
                <w:sz w:val="24"/>
                <w:shd w:val="clear" w:color="auto" w:fill="FFFFFF"/>
                <w:lang w:bidi="ar"/>
              </w:rPr>
            </w:pPr>
          </w:p>
        </w:tc>
        <w:tc>
          <w:tcPr>
            <w:tcW w:w="765" w:type="dxa"/>
            <w:vMerge w:val="continue"/>
            <w:vAlign w:val="center"/>
          </w:tcPr>
          <w:p w14:paraId="192D13D1">
            <w:pPr>
              <w:jc w:val="center"/>
              <w:rPr>
                <w:rFonts w:ascii="仿宋_GB2312" w:hAnsi="仿宋_GB2312" w:eastAsia="仿宋_GB2312" w:cs="仿宋_GB2312"/>
                <w:kern w:val="0"/>
                <w:sz w:val="24"/>
                <w:shd w:val="clear" w:color="auto" w:fill="FFFFFF"/>
                <w:lang w:bidi="ar"/>
              </w:rPr>
            </w:pPr>
          </w:p>
        </w:tc>
      </w:tr>
      <w:tr w14:paraId="6E069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 w:type="dxa"/>
            <w:vAlign w:val="center"/>
          </w:tcPr>
          <w:p w14:paraId="3DA461AC">
            <w:pPr>
              <w:widowControl/>
              <w:jc w:val="center"/>
              <w:textAlignment w:val="center"/>
              <w:rPr>
                <w:rFonts w:hint="default" w:ascii="仿宋_GB2312" w:hAnsi="仿宋_GB2312" w:eastAsia="仿宋_GB2312" w:cs="仿宋_GB2312"/>
                <w:kern w:val="0"/>
                <w:sz w:val="24"/>
                <w:shd w:val="clear" w:color="auto" w:fill="FFFFFF"/>
                <w:lang w:val="en-US" w:eastAsia="zh-CN" w:bidi="ar"/>
              </w:rPr>
            </w:pPr>
            <w:r>
              <w:rPr>
                <w:rFonts w:hint="eastAsia" w:ascii="仿宋_GB2312" w:hAnsi="仿宋_GB2312" w:eastAsia="仿宋_GB2312" w:cs="仿宋_GB2312"/>
                <w:kern w:val="0"/>
                <w:sz w:val="24"/>
                <w:shd w:val="clear" w:color="auto" w:fill="FFFFFF"/>
                <w:lang w:val="en-US" w:eastAsia="zh-CN" w:bidi="ar"/>
              </w:rPr>
              <w:t>10</w:t>
            </w:r>
          </w:p>
        </w:tc>
        <w:tc>
          <w:tcPr>
            <w:tcW w:w="1395" w:type="dxa"/>
            <w:vAlign w:val="center"/>
          </w:tcPr>
          <w:p w14:paraId="6643E5B7">
            <w:pPr>
              <w:widowControl/>
              <w:jc w:val="center"/>
              <w:textAlignment w:val="center"/>
              <w:rPr>
                <w:rFonts w:hint="eastAsia" w:ascii="宋体" w:hAnsi="宋体" w:eastAsia="宋体" w:cs="宋体"/>
                <w:color w:val="000000"/>
                <w:sz w:val="20"/>
                <w:szCs w:val="20"/>
              </w:rPr>
            </w:pPr>
            <w:r>
              <w:rPr>
                <w:rFonts w:hint="eastAsia" w:ascii="仿宋_GB2312" w:hAnsi="仿宋_GB2312" w:eastAsia="仿宋_GB2312" w:cs="仿宋_GB2312"/>
                <w:kern w:val="0"/>
                <w:sz w:val="24"/>
                <w:shd w:val="clear" w:color="auto" w:fill="FFFFFF"/>
                <w:lang w:bidi="ar"/>
              </w:rPr>
              <w:t>安全环境整改</w:t>
            </w:r>
          </w:p>
        </w:tc>
        <w:tc>
          <w:tcPr>
            <w:tcW w:w="5520" w:type="dxa"/>
            <w:vAlign w:val="center"/>
          </w:tcPr>
          <w:p w14:paraId="55D07C57">
            <w:pPr>
              <w:jc w:val="left"/>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涉及设备调整</w:t>
            </w:r>
            <w:r>
              <w:rPr>
                <w:rFonts w:hint="eastAsia" w:ascii="仿宋_GB2312" w:hAnsi="仿宋_GB2312" w:eastAsia="仿宋_GB2312" w:cs="仿宋_GB2312"/>
                <w:kern w:val="0"/>
                <w:sz w:val="24"/>
                <w:shd w:val="clear" w:color="auto" w:fill="FFFFFF"/>
                <w:lang w:eastAsia="zh-CN" w:bidi="ar"/>
              </w:rPr>
              <w:t>、</w:t>
            </w:r>
            <w:r>
              <w:rPr>
                <w:rFonts w:hint="eastAsia" w:ascii="仿宋_GB2312" w:hAnsi="仿宋_GB2312" w:eastAsia="仿宋_GB2312" w:cs="仿宋_GB2312"/>
                <w:kern w:val="0"/>
                <w:sz w:val="24"/>
                <w:shd w:val="clear" w:color="auto" w:fill="FFFFFF"/>
                <w:lang w:val="en-US" w:eastAsia="zh-CN" w:bidi="ar"/>
              </w:rPr>
              <w:t>备用发电机组控制软件安装调试</w:t>
            </w:r>
            <w:r>
              <w:rPr>
                <w:rFonts w:hint="eastAsia" w:ascii="仿宋_GB2312" w:hAnsi="仿宋_GB2312" w:eastAsia="仿宋_GB2312" w:cs="仿宋_GB2312"/>
                <w:kern w:val="0"/>
                <w:sz w:val="24"/>
                <w:shd w:val="clear" w:color="auto" w:fill="FFFFFF"/>
                <w:lang w:bidi="ar"/>
              </w:rPr>
              <w:t>，含机房</w:t>
            </w:r>
            <w:r>
              <w:rPr>
                <w:rFonts w:hint="eastAsia" w:ascii="仿宋_GB2312" w:hAnsi="仿宋_GB2312" w:eastAsia="仿宋_GB2312" w:cs="仿宋_GB2312"/>
                <w:kern w:val="0"/>
                <w:sz w:val="24"/>
                <w:shd w:val="clear" w:color="auto" w:fill="FFFFFF"/>
                <w:lang w:val="en-US" w:eastAsia="zh-CN" w:bidi="ar"/>
              </w:rPr>
              <w:t>防火墙板</w:t>
            </w:r>
            <w:r>
              <w:rPr>
                <w:rFonts w:hint="eastAsia" w:ascii="仿宋_GB2312" w:hAnsi="仿宋_GB2312" w:eastAsia="仿宋_GB2312" w:cs="仿宋_GB2312"/>
                <w:kern w:val="0"/>
                <w:sz w:val="24"/>
                <w:shd w:val="clear" w:color="auto" w:fill="FFFFFF"/>
                <w:lang w:bidi="ar"/>
              </w:rPr>
              <w:t>，机柜增加2套及AIS天线重新安装等交钥匙项目</w:t>
            </w:r>
          </w:p>
        </w:tc>
        <w:tc>
          <w:tcPr>
            <w:tcW w:w="765" w:type="dxa"/>
            <w:vAlign w:val="center"/>
          </w:tcPr>
          <w:p w14:paraId="3A3EEDCC">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1</w:t>
            </w:r>
          </w:p>
        </w:tc>
        <w:tc>
          <w:tcPr>
            <w:tcW w:w="765" w:type="dxa"/>
            <w:vAlign w:val="center"/>
          </w:tcPr>
          <w:p w14:paraId="1B357CEF">
            <w:pPr>
              <w:jc w:val="center"/>
              <w:rPr>
                <w:rFonts w:ascii="仿宋_GB2312" w:hAnsi="仿宋_GB2312" w:eastAsia="仿宋_GB2312" w:cs="仿宋_GB2312"/>
                <w:kern w:val="0"/>
                <w:sz w:val="24"/>
                <w:shd w:val="clear" w:color="auto" w:fill="FFFFFF"/>
                <w:lang w:bidi="ar"/>
              </w:rPr>
            </w:pPr>
            <w:r>
              <w:rPr>
                <w:rFonts w:hint="eastAsia" w:ascii="仿宋_GB2312" w:hAnsi="仿宋_GB2312" w:eastAsia="仿宋_GB2312" w:cs="仿宋_GB2312"/>
                <w:kern w:val="0"/>
                <w:sz w:val="24"/>
                <w:shd w:val="clear" w:color="auto" w:fill="FFFFFF"/>
                <w:lang w:bidi="ar"/>
              </w:rPr>
              <w:t>项</w:t>
            </w:r>
          </w:p>
        </w:tc>
      </w:tr>
      <w:bookmarkEnd w:id="0"/>
    </w:tbl>
    <w:p w14:paraId="080F7A2B">
      <w:pPr>
        <w:widowControl/>
        <w:shd w:val="clear" w:color="auto" w:fill="FFFFFF"/>
        <w:spacing w:line="360" w:lineRule="auto"/>
        <w:jc w:val="left"/>
        <w:textAlignment w:val="baseline"/>
        <w:rPr>
          <w:rFonts w:hint="eastAsia" w:cs="Times New Roman" w:asciiTheme="minorEastAsia" w:hAnsiTheme="minorEastAsia"/>
          <w:b/>
          <w:color w:val="000000"/>
          <w:kern w:val="0"/>
          <w:sz w:val="30"/>
          <w:szCs w:val="30"/>
          <w:shd w:val="clear" w:color="auto" w:fill="FFFFFF"/>
        </w:rPr>
      </w:pPr>
    </w:p>
    <w:p w14:paraId="26627CFE">
      <w:pPr>
        <w:rPr>
          <w:rFonts w:hint="eastAsia" w:cs="Times New Roman" w:asciiTheme="minorEastAsia" w:hAnsiTheme="minorEastAsia"/>
          <w:b/>
          <w:color w:val="000000"/>
          <w:kern w:val="0"/>
          <w:sz w:val="30"/>
          <w:szCs w:val="30"/>
          <w:shd w:val="clear" w:color="auto" w:fill="FFFFFF"/>
        </w:rPr>
      </w:pPr>
      <w:r>
        <w:rPr>
          <w:rFonts w:hint="eastAsia" w:cs="Times New Roman" w:asciiTheme="minorEastAsia" w:hAnsiTheme="minorEastAsia"/>
          <w:b/>
          <w:color w:val="000000"/>
          <w:kern w:val="0"/>
          <w:sz w:val="30"/>
          <w:szCs w:val="30"/>
          <w:shd w:val="clear" w:color="auto" w:fill="FFFFFF"/>
        </w:rPr>
        <w:br w:type="page"/>
      </w:r>
    </w:p>
    <w:p w14:paraId="1AB7B266">
      <w:pPr>
        <w:widowControl/>
        <w:shd w:val="clear" w:color="auto" w:fill="FFFFFF"/>
        <w:spacing w:line="360" w:lineRule="auto"/>
        <w:jc w:val="left"/>
        <w:textAlignment w:val="baseline"/>
        <w:rPr>
          <w:rFonts w:hint="eastAsia" w:cs="Times New Roman" w:asciiTheme="minorEastAsia" w:hAnsiTheme="minorEastAsia"/>
          <w:b/>
          <w:color w:val="000000"/>
          <w:kern w:val="0"/>
          <w:sz w:val="30"/>
          <w:szCs w:val="30"/>
          <w:shd w:val="clear" w:color="auto" w:fill="FFFFFF"/>
        </w:rPr>
      </w:pPr>
      <w:r>
        <w:rPr>
          <w:rFonts w:hint="eastAsia" w:cs="Times New Roman" w:asciiTheme="minorEastAsia" w:hAnsiTheme="minorEastAsia"/>
          <w:b/>
          <w:color w:val="000000"/>
          <w:kern w:val="0"/>
          <w:sz w:val="30"/>
          <w:szCs w:val="30"/>
          <w:shd w:val="clear" w:color="auto" w:fill="FFFFFF"/>
        </w:rPr>
        <w:t>附件2：报价表</w:t>
      </w:r>
    </w:p>
    <w:p w14:paraId="1996B428">
      <w:pPr>
        <w:spacing w:line="340" w:lineRule="atLeast"/>
        <w:jc w:val="center"/>
        <w:rPr>
          <w:b/>
          <w:color w:val="auto"/>
          <w:sz w:val="36"/>
          <w:szCs w:val="36"/>
          <w:highlight w:val="none"/>
        </w:rPr>
      </w:pPr>
      <w:r>
        <w:rPr>
          <w:b/>
          <w:color w:val="auto"/>
          <w:sz w:val="36"/>
          <w:szCs w:val="36"/>
          <w:highlight w:val="none"/>
        </w:rPr>
        <w:t>报价一览表</w:t>
      </w:r>
    </w:p>
    <w:p w14:paraId="11B9B2E5">
      <w:pPr>
        <w:spacing w:line="360" w:lineRule="auto"/>
        <w:rPr>
          <w:rFonts w:hint="eastAsia" w:ascii="宋体" w:hAnsi="宋体"/>
          <w:color w:val="auto"/>
          <w:sz w:val="24"/>
          <w:highlight w:val="none"/>
        </w:rPr>
      </w:pPr>
    </w:p>
    <w:p w14:paraId="78F6FC10">
      <w:pPr>
        <w:spacing w:line="360" w:lineRule="auto"/>
        <w:rPr>
          <w:rFonts w:ascii="宋体" w:hAnsi="宋体"/>
          <w:color w:val="auto"/>
          <w:sz w:val="24"/>
          <w:highlight w:val="none"/>
          <w:u w:val="single"/>
        </w:rPr>
      </w:pPr>
      <w:r>
        <w:rPr>
          <w:rFonts w:hint="eastAsia" w:ascii="宋体" w:hAnsi="宋体"/>
          <w:color w:val="auto"/>
          <w:sz w:val="24"/>
          <w:highlight w:val="none"/>
        </w:rPr>
        <w:t>项目名称：</w:t>
      </w:r>
      <w:r>
        <w:rPr>
          <w:rFonts w:hint="eastAsia" w:ascii="宋体" w:hAnsi="宋体" w:eastAsiaTheme="minorEastAsia"/>
          <w:color w:val="auto"/>
          <w:sz w:val="24"/>
          <w:highlight w:val="none"/>
          <w:u w:val="none"/>
        </w:rPr>
        <w:t xml:space="preserve">             </w:t>
      </w:r>
      <w:r>
        <w:rPr>
          <w:rFonts w:hint="eastAsia" w:ascii="宋体" w:hAnsi="宋体"/>
          <w:color w:val="auto"/>
          <w:sz w:val="24"/>
          <w:highlight w:val="none"/>
        </w:rPr>
        <w:t xml:space="preserve">                 </w:t>
      </w:r>
      <w:r>
        <w:rPr>
          <w:rFonts w:hint="eastAsia" w:ascii="宋体" w:hAnsi="宋体"/>
          <w:color w:val="auto"/>
          <w:sz w:val="24"/>
          <w:highlight w:val="none"/>
          <w:lang w:val="en-US" w:eastAsia="zh-CN"/>
        </w:rPr>
        <w:t xml:space="preserve">                 </w:t>
      </w:r>
      <w:r>
        <w:rPr>
          <w:rFonts w:hint="eastAsia" w:ascii="宋体" w:hAnsi="宋体"/>
          <w:color w:val="auto"/>
          <w:sz w:val="24"/>
          <w:highlight w:val="none"/>
        </w:rPr>
        <w:t>货币单位：</w:t>
      </w:r>
      <w:r>
        <w:rPr>
          <w:rFonts w:hint="eastAsia" w:ascii="宋体" w:hAnsi="宋体"/>
          <w:color w:val="auto"/>
          <w:sz w:val="24"/>
          <w:highlight w:val="none"/>
          <w:u w:val="none"/>
          <w:lang w:val="en-US" w:eastAsia="zh-CN"/>
        </w:rPr>
        <w:t>元</w:t>
      </w:r>
      <w:r>
        <w:rPr>
          <w:rFonts w:hint="eastAsia" w:ascii="宋体" w:hAnsi="宋体"/>
          <w:color w:val="auto"/>
          <w:sz w:val="24"/>
          <w:highlight w:val="none"/>
          <w:u w:val="none"/>
        </w:rPr>
        <w:t xml:space="preserve"> </w:t>
      </w:r>
    </w:p>
    <w:tbl>
      <w:tblPr>
        <w:tblStyle w:val="2"/>
        <w:tblW w:w="52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6"/>
        <w:gridCol w:w="2616"/>
        <w:gridCol w:w="1075"/>
        <w:gridCol w:w="2418"/>
        <w:gridCol w:w="1841"/>
      </w:tblGrid>
      <w:tr w14:paraId="7F640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2" w:hRule="atLeast"/>
          <w:jc w:val="center"/>
        </w:trPr>
        <w:tc>
          <w:tcPr>
            <w:tcW w:w="591" w:type="pct"/>
            <w:noWrap w:val="0"/>
            <w:vAlign w:val="center"/>
          </w:tcPr>
          <w:p w14:paraId="70452350">
            <w:pPr>
              <w:spacing w:line="360" w:lineRule="auto"/>
              <w:jc w:val="center"/>
              <w:rPr>
                <w:rFonts w:hint="eastAsia" w:ascii="宋体" w:hAnsi="宋体" w:eastAsiaTheme="minorEastAsia"/>
                <w:color w:val="auto"/>
                <w:sz w:val="24"/>
                <w:highlight w:val="none"/>
                <w:lang w:eastAsia="zh-CN"/>
              </w:rPr>
            </w:pPr>
            <w:r>
              <w:rPr>
                <w:rFonts w:hint="eastAsia" w:ascii="宋体" w:hAnsi="宋体"/>
                <w:color w:val="auto"/>
                <w:sz w:val="24"/>
                <w:highlight w:val="none"/>
                <w:lang w:val="en-US" w:eastAsia="zh-CN"/>
              </w:rPr>
              <w:t>序号</w:t>
            </w:r>
          </w:p>
        </w:tc>
        <w:tc>
          <w:tcPr>
            <w:tcW w:w="1451" w:type="pct"/>
            <w:noWrap w:val="0"/>
            <w:vAlign w:val="center"/>
          </w:tcPr>
          <w:p w14:paraId="0D9441B9">
            <w:pPr>
              <w:spacing w:line="360" w:lineRule="auto"/>
              <w:jc w:val="center"/>
              <w:rPr>
                <w:rFonts w:hint="default" w:ascii="宋体" w:hAnsi="宋体" w:eastAsiaTheme="minorEastAsia"/>
                <w:color w:val="auto"/>
                <w:sz w:val="24"/>
                <w:highlight w:val="none"/>
                <w:lang w:val="en-US" w:eastAsia="zh-CN"/>
              </w:rPr>
            </w:pPr>
            <w:r>
              <w:rPr>
                <w:rFonts w:hint="eastAsia" w:ascii="宋体" w:hAnsi="宋体"/>
                <w:color w:val="auto"/>
                <w:sz w:val="24"/>
                <w:highlight w:val="none"/>
                <w:lang w:val="en-US" w:eastAsia="zh-CN"/>
              </w:rPr>
              <w:t>项目名称</w:t>
            </w:r>
          </w:p>
        </w:tc>
        <w:tc>
          <w:tcPr>
            <w:tcW w:w="596" w:type="pct"/>
            <w:noWrap w:val="0"/>
            <w:vAlign w:val="center"/>
          </w:tcPr>
          <w:p w14:paraId="26F8FB05">
            <w:pPr>
              <w:spacing w:line="360" w:lineRule="auto"/>
              <w:jc w:val="center"/>
              <w:rPr>
                <w:rFonts w:hint="eastAsia" w:ascii="宋体" w:hAnsi="宋体"/>
                <w:color w:val="auto"/>
                <w:sz w:val="24"/>
                <w:highlight w:val="none"/>
              </w:rPr>
            </w:pPr>
            <w:r>
              <w:rPr>
                <w:rFonts w:hint="eastAsia" w:ascii="宋体" w:hAnsi="宋体"/>
                <w:color w:val="auto"/>
                <w:sz w:val="24"/>
                <w:highlight w:val="none"/>
              </w:rPr>
              <w:t>数量</w:t>
            </w:r>
          </w:p>
        </w:tc>
        <w:tc>
          <w:tcPr>
            <w:tcW w:w="1341" w:type="pct"/>
            <w:noWrap w:val="0"/>
            <w:vAlign w:val="center"/>
          </w:tcPr>
          <w:p w14:paraId="67109EAA">
            <w:pPr>
              <w:spacing w:line="360" w:lineRule="auto"/>
              <w:jc w:val="center"/>
              <w:rPr>
                <w:rFonts w:hint="eastAsia" w:ascii="宋体" w:hAnsi="宋体"/>
                <w:color w:val="auto"/>
                <w:sz w:val="24"/>
                <w:highlight w:val="none"/>
              </w:rPr>
            </w:pPr>
            <w:r>
              <w:rPr>
                <w:rFonts w:hint="eastAsia" w:ascii="宋体" w:hAnsi="宋体"/>
                <w:color w:val="auto"/>
                <w:sz w:val="24"/>
                <w:highlight w:val="none"/>
              </w:rPr>
              <w:t>报价</w:t>
            </w:r>
          </w:p>
        </w:tc>
        <w:tc>
          <w:tcPr>
            <w:tcW w:w="1019" w:type="pct"/>
            <w:noWrap w:val="0"/>
            <w:vAlign w:val="center"/>
          </w:tcPr>
          <w:p w14:paraId="3F2B1E04">
            <w:pPr>
              <w:spacing w:line="360" w:lineRule="auto"/>
              <w:jc w:val="center"/>
              <w:rPr>
                <w:rFonts w:hint="default" w:ascii="宋体" w:hAnsi="宋体" w:eastAsia="宋体"/>
                <w:color w:val="auto"/>
                <w:sz w:val="24"/>
                <w:highlight w:val="none"/>
                <w:lang w:val="en-US" w:eastAsia="zh-CN"/>
              </w:rPr>
            </w:pPr>
            <w:r>
              <w:rPr>
                <w:rFonts w:hint="eastAsia" w:ascii="宋体" w:hAnsi="宋体"/>
                <w:color w:val="auto"/>
                <w:sz w:val="24"/>
                <w:highlight w:val="none"/>
                <w:lang w:val="en-US" w:eastAsia="zh-CN"/>
              </w:rPr>
              <w:t>预计建设期</w:t>
            </w:r>
          </w:p>
        </w:tc>
      </w:tr>
      <w:tr w14:paraId="225E3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3" w:hRule="atLeast"/>
          <w:jc w:val="center"/>
        </w:trPr>
        <w:tc>
          <w:tcPr>
            <w:tcW w:w="591" w:type="pct"/>
            <w:noWrap w:val="0"/>
            <w:vAlign w:val="center"/>
          </w:tcPr>
          <w:p w14:paraId="29AEC597">
            <w:pPr>
              <w:spacing w:line="360" w:lineRule="auto"/>
              <w:jc w:val="center"/>
              <w:rPr>
                <w:rFonts w:hint="eastAsia" w:ascii="宋体" w:hAnsi="宋体" w:eastAsiaTheme="minorEastAsia"/>
                <w:color w:val="auto"/>
                <w:sz w:val="24"/>
                <w:highlight w:val="none"/>
                <w:lang w:eastAsia="zh-CN"/>
              </w:rPr>
            </w:pPr>
            <w:r>
              <w:rPr>
                <w:rFonts w:hint="eastAsia" w:ascii="宋体" w:hAnsi="宋体"/>
                <w:color w:val="auto"/>
                <w:sz w:val="24"/>
                <w:highlight w:val="none"/>
                <w:lang w:val="en-US" w:eastAsia="zh-CN"/>
              </w:rPr>
              <w:t>1</w:t>
            </w:r>
          </w:p>
        </w:tc>
        <w:tc>
          <w:tcPr>
            <w:tcW w:w="1451" w:type="pct"/>
            <w:noWrap w:val="0"/>
            <w:vAlign w:val="center"/>
          </w:tcPr>
          <w:p w14:paraId="3CE56FF1">
            <w:pPr>
              <w:widowControl/>
              <w:jc w:val="center"/>
              <w:rPr>
                <w:rFonts w:hint="eastAsia" w:ascii="宋体" w:hAnsi="宋体" w:eastAsia="宋体" w:cs="宋体"/>
                <w:bCs/>
                <w:color w:val="auto"/>
                <w:kern w:val="0"/>
                <w:sz w:val="24"/>
                <w:highlight w:val="none"/>
                <w:lang w:eastAsia="zh-CN"/>
              </w:rPr>
            </w:pPr>
          </w:p>
        </w:tc>
        <w:tc>
          <w:tcPr>
            <w:tcW w:w="596" w:type="pct"/>
            <w:noWrap w:val="0"/>
            <w:vAlign w:val="center"/>
          </w:tcPr>
          <w:p w14:paraId="34BE02F4">
            <w:pPr>
              <w:spacing w:line="360" w:lineRule="auto"/>
              <w:jc w:val="center"/>
              <w:rPr>
                <w:rFonts w:hint="eastAsia" w:ascii="宋体" w:hAnsi="宋体"/>
                <w:color w:val="auto"/>
                <w:sz w:val="24"/>
                <w:highlight w:val="none"/>
              </w:rPr>
            </w:pPr>
          </w:p>
        </w:tc>
        <w:tc>
          <w:tcPr>
            <w:tcW w:w="1341" w:type="pct"/>
            <w:noWrap w:val="0"/>
            <w:vAlign w:val="center"/>
          </w:tcPr>
          <w:p w14:paraId="231CDF5D">
            <w:pPr>
              <w:spacing w:line="360" w:lineRule="auto"/>
              <w:jc w:val="center"/>
              <w:rPr>
                <w:rFonts w:hint="eastAsia" w:ascii="宋体" w:hAnsi="宋体"/>
                <w:color w:val="auto"/>
                <w:sz w:val="24"/>
                <w:highlight w:val="none"/>
              </w:rPr>
            </w:pPr>
          </w:p>
        </w:tc>
        <w:tc>
          <w:tcPr>
            <w:tcW w:w="1019" w:type="pct"/>
            <w:noWrap w:val="0"/>
            <w:vAlign w:val="center"/>
          </w:tcPr>
          <w:p w14:paraId="6A83FE75">
            <w:pPr>
              <w:spacing w:line="360" w:lineRule="auto"/>
              <w:jc w:val="center"/>
              <w:rPr>
                <w:rFonts w:hint="eastAsia" w:ascii="宋体" w:hAnsi="宋体"/>
                <w:color w:val="auto"/>
                <w:sz w:val="24"/>
                <w:highlight w:val="none"/>
              </w:rPr>
            </w:pPr>
          </w:p>
        </w:tc>
      </w:tr>
      <w:tr w14:paraId="1B6C2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4" w:hRule="atLeast"/>
          <w:jc w:val="center"/>
        </w:trPr>
        <w:tc>
          <w:tcPr>
            <w:tcW w:w="5000" w:type="pct"/>
            <w:gridSpan w:val="5"/>
            <w:noWrap w:val="0"/>
            <w:vAlign w:val="center"/>
          </w:tcPr>
          <w:p w14:paraId="09978FC5">
            <w:pPr>
              <w:spacing w:line="360" w:lineRule="auto"/>
              <w:rPr>
                <w:rFonts w:hint="eastAsia" w:ascii="宋体" w:hAnsi="宋体"/>
                <w:color w:val="auto"/>
                <w:sz w:val="24"/>
                <w:highlight w:val="none"/>
              </w:rPr>
            </w:pPr>
            <w:r>
              <w:rPr>
                <w:rFonts w:hint="eastAsia" w:ascii="宋体" w:hAnsi="宋体"/>
                <w:color w:val="auto"/>
                <w:sz w:val="24"/>
                <w:highlight w:val="none"/>
              </w:rPr>
              <w:t xml:space="preserve">(大写)人民币：     </w:t>
            </w:r>
          </w:p>
        </w:tc>
      </w:tr>
    </w:tbl>
    <w:p w14:paraId="38F7D976">
      <w:pPr>
        <w:spacing w:line="360" w:lineRule="auto"/>
        <w:rPr>
          <w:rFonts w:hint="eastAsia" w:ascii="宋体" w:hAnsi="宋体"/>
          <w:color w:val="auto"/>
          <w:sz w:val="24"/>
          <w:highlight w:val="none"/>
        </w:rPr>
      </w:pPr>
      <w:r>
        <w:rPr>
          <w:rFonts w:hint="eastAsia" w:ascii="宋体" w:hAnsi="宋体"/>
          <w:color w:val="auto"/>
          <w:sz w:val="24"/>
          <w:highlight w:val="none"/>
        </w:rPr>
        <w:t>注：详细报价清单应另纸详列，且标明所报各种</w:t>
      </w:r>
      <w:r>
        <w:rPr>
          <w:rFonts w:hint="eastAsia" w:ascii="宋体" w:hAnsi="宋体"/>
          <w:color w:val="auto"/>
          <w:sz w:val="24"/>
          <w:highlight w:val="none"/>
          <w:lang w:val="en-US" w:eastAsia="zh-CN"/>
        </w:rPr>
        <w:t>货物、</w:t>
      </w:r>
      <w:r>
        <w:rPr>
          <w:rFonts w:hint="eastAsia" w:ascii="宋体" w:hAnsi="宋体"/>
          <w:color w:val="auto"/>
          <w:sz w:val="24"/>
          <w:highlight w:val="none"/>
        </w:rPr>
        <w:t xml:space="preserve">服务的数量和金额。       </w:t>
      </w:r>
      <w:r>
        <w:rPr>
          <w:rFonts w:hint="eastAsia" w:ascii="宋体" w:hAnsi="宋体"/>
          <w:color w:val="auto"/>
          <w:sz w:val="24"/>
          <w:highlight w:val="none"/>
          <w:lang w:val="en-US" w:eastAsia="zh-CN"/>
        </w:rPr>
        <w:t xml:space="preserve"> </w:t>
      </w:r>
      <w:r>
        <w:rPr>
          <w:rFonts w:hint="eastAsia" w:ascii="宋体" w:hAnsi="宋体"/>
          <w:color w:val="auto"/>
          <w:sz w:val="24"/>
          <w:highlight w:val="none"/>
        </w:rPr>
        <w:t xml:space="preserve">    </w:t>
      </w:r>
    </w:p>
    <w:p w14:paraId="62149822">
      <w:pPr>
        <w:spacing w:line="360" w:lineRule="auto"/>
        <w:rPr>
          <w:rFonts w:hint="eastAsia" w:ascii="宋体" w:hAnsi="宋体"/>
          <w:color w:val="auto"/>
          <w:sz w:val="24"/>
          <w:highlight w:val="none"/>
        </w:rPr>
      </w:pPr>
      <w:r>
        <w:rPr>
          <w:rFonts w:hint="eastAsia" w:ascii="宋体" w:hAnsi="宋体"/>
          <w:color w:val="auto"/>
          <w:sz w:val="24"/>
          <w:highlight w:val="none"/>
        </w:rPr>
        <w:t xml:space="preserve">  </w:t>
      </w:r>
    </w:p>
    <w:p w14:paraId="1A453461">
      <w:pPr>
        <w:spacing w:line="360" w:lineRule="auto"/>
        <w:ind w:firstLine="4680" w:firstLineChars="1950"/>
        <w:rPr>
          <w:rFonts w:hint="eastAsia" w:ascii="宋体" w:hAnsi="宋体"/>
          <w:color w:val="auto"/>
          <w:sz w:val="24"/>
          <w:highlight w:val="none"/>
          <w:u w:val="single"/>
        </w:rPr>
      </w:pPr>
      <w:r>
        <w:rPr>
          <w:rFonts w:hint="eastAsia" w:ascii="宋体" w:hAnsi="宋体"/>
          <w:color w:val="auto"/>
          <w:sz w:val="24"/>
          <w:highlight w:val="none"/>
        </w:rPr>
        <w:t>报价响应供应商名称：</w:t>
      </w:r>
      <w:r>
        <w:rPr>
          <w:rFonts w:hint="eastAsia" w:ascii="宋体" w:hAnsi="宋体"/>
          <w:color w:val="auto"/>
          <w:sz w:val="24"/>
          <w:highlight w:val="none"/>
          <w:u w:val="single"/>
        </w:rPr>
        <w:t xml:space="preserve">                </w:t>
      </w:r>
    </w:p>
    <w:p w14:paraId="38FCE6EA">
      <w:pPr>
        <w:spacing w:line="360" w:lineRule="auto"/>
        <w:ind w:firstLine="4680" w:firstLineChars="1950"/>
        <w:rPr>
          <w:rFonts w:hint="eastAsia" w:ascii="宋体" w:hAnsi="宋体"/>
          <w:color w:val="auto"/>
          <w:sz w:val="24"/>
          <w:highlight w:val="none"/>
        </w:rPr>
      </w:pPr>
      <w:r>
        <w:rPr>
          <w:rFonts w:hint="eastAsia" w:ascii="宋体" w:hAnsi="宋体"/>
          <w:color w:val="auto"/>
          <w:sz w:val="24"/>
          <w:highlight w:val="none"/>
        </w:rPr>
        <w:t>报价响应供应商代表签字：</w:t>
      </w:r>
      <w:r>
        <w:rPr>
          <w:rFonts w:hint="eastAsia" w:ascii="宋体" w:hAnsi="宋体"/>
          <w:color w:val="auto"/>
          <w:sz w:val="24"/>
          <w:highlight w:val="none"/>
          <w:u w:val="single"/>
        </w:rPr>
        <w:t xml:space="preserve">               </w:t>
      </w:r>
    </w:p>
    <w:p w14:paraId="65B3FF2E">
      <w:pPr>
        <w:spacing w:line="360" w:lineRule="auto"/>
        <w:ind w:firstLine="4680" w:firstLineChars="1950"/>
        <w:rPr>
          <w:rFonts w:hint="eastAsia" w:ascii="宋体" w:hAnsi="宋体"/>
          <w:color w:val="auto"/>
          <w:sz w:val="24"/>
          <w:highlight w:val="none"/>
        </w:rPr>
      </w:pPr>
      <w:r>
        <w:rPr>
          <w:rFonts w:hint="eastAsia" w:ascii="宋体" w:hAnsi="宋体"/>
          <w:color w:val="auto"/>
          <w:sz w:val="24"/>
          <w:highlight w:val="none"/>
          <w:lang w:val="en-US" w:eastAsia="zh-CN"/>
        </w:rPr>
        <w:t>联系电话</w:t>
      </w:r>
      <w:r>
        <w:rPr>
          <w:rFonts w:hint="eastAsia" w:ascii="宋体" w:hAnsi="宋体"/>
          <w:color w:val="auto"/>
          <w:sz w:val="24"/>
          <w:highlight w:val="none"/>
        </w:rPr>
        <w:t>：</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u w:val="single"/>
        </w:rPr>
        <w:t xml:space="preserve">      </w:t>
      </w:r>
    </w:p>
    <w:p w14:paraId="6A7C19EE">
      <w:pPr>
        <w:spacing w:line="360" w:lineRule="auto"/>
        <w:ind w:firstLine="4680" w:firstLineChars="1950"/>
        <w:rPr>
          <w:rFonts w:ascii="宋体" w:hAnsi="宋体"/>
          <w:color w:val="auto"/>
          <w:sz w:val="24"/>
          <w:highlight w:val="none"/>
        </w:rPr>
      </w:pPr>
      <w:r>
        <w:rPr>
          <w:rFonts w:hint="eastAsia" w:ascii="宋体" w:hAnsi="宋体"/>
          <w:color w:val="auto"/>
          <w:sz w:val="24"/>
          <w:highlight w:val="none"/>
        </w:rPr>
        <w:t>日期：</w:t>
      </w:r>
      <w:r>
        <w:rPr>
          <w:rFonts w:hint="eastAsia" w:ascii="宋体" w:hAnsi="宋体"/>
          <w:color w:val="auto"/>
          <w:sz w:val="24"/>
          <w:highlight w:val="none"/>
          <w:u w:val="single"/>
        </w:rPr>
        <w:t xml:space="preserve">     年    月    日</w:t>
      </w:r>
    </w:p>
    <w:p w14:paraId="7AD7F68F">
      <w:pPr>
        <w:widowControl/>
        <w:shd w:val="clear" w:color="auto" w:fill="FFFFFF"/>
        <w:spacing w:line="360" w:lineRule="auto"/>
        <w:jc w:val="left"/>
        <w:textAlignment w:val="baseline"/>
        <w:rPr>
          <w:rFonts w:hint="default" w:cs="Times New Roman" w:asciiTheme="minorEastAsia" w:hAnsiTheme="minorEastAsia"/>
          <w:b/>
          <w:color w:val="000000"/>
          <w:kern w:val="0"/>
          <w:sz w:val="30"/>
          <w:szCs w:val="30"/>
          <w:shd w:val="clear" w:color="auto" w:fill="FFFFFF"/>
          <w:lang w:val="en-US" w:eastAsia="zh-CN"/>
        </w:rPr>
      </w:pPr>
    </w:p>
    <w:p w14:paraId="3DD7DB3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楷体_GB2312">
    <w:altName w:val="楷体"/>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B24CD0"/>
    <w:multiLevelType w:val="singleLevel"/>
    <w:tmpl w:val="29B24CD0"/>
    <w:lvl w:ilvl="0" w:tentative="0">
      <w:start w:val="1"/>
      <w:numFmt w:val="chineseCounting"/>
      <w:suff w:val="nothing"/>
      <w:lvlText w:val="%1、"/>
      <w:lvlJc w:val="left"/>
      <w:pPr>
        <w:ind w:left="0" w:firstLine="420"/>
      </w:pPr>
      <w:rPr>
        <w:rFonts w:hint="eastAsia"/>
      </w:rPr>
    </w:lvl>
  </w:abstractNum>
  <w:abstractNum w:abstractNumId="1">
    <w:nsid w:val="51B39669"/>
    <w:multiLevelType w:val="singleLevel"/>
    <w:tmpl w:val="51B39669"/>
    <w:lvl w:ilvl="0" w:tentative="0">
      <w:start w:val="1"/>
      <w:numFmt w:val="chineseCounting"/>
      <w:suff w:val="nothing"/>
      <w:lvlText w:val="（%1）"/>
      <w:lvlJc w:val="left"/>
      <w:pPr>
        <w:ind w:left="-640" w:firstLine="420"/>
      </w:pPr>
      <w:rPr>
        <w:rFonts w:hint="eastAsia"/>
      </w:rPr>
    </w:lvl>
  </w:abstractNum>
  <w:abstractNum w:abstractNumId="2">
    <w:nsid w:val="77C826B3"/>
    <w:multiLevelType w:val="singleLevel"/>
    <w:tmpl w:val="77C826B3"/>
    <w:lvl w:ilvl="0" w:tentative="0">
      <w:start w:val="3"/>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4YzkwZDMzYWFiODM1ZWVjZDNiZjZhMTljMjI0NzQifQ=="/>
  </w:docVars>
  <w:rsids>
    <w:rsidRoot w:val="48B4103B"/>
    <w:rsid w:val="1748192D"/>
    <w:rsid w:val="24DD4BFA"/>
    <w:rsid w:val="48B4103B"/>
    <w:rsid w:val="7BD20F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1032</Words>
  <Characters>1040</Characters>
  <Lines>0</Lines>
  <Paragraphs>0</Paragraphs>
  <TotalTime>4</TotalTime>
  <ScaleCrop>false</ScaleCrop>
  <LinksUpToDate>false</LinksUpToDate>
  <CharactersWithSpaces>1152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2024-08-14T01:15:00Z</dcterms:created>
  <dc:creator>曾淑清</dc:creator>
  <cp:lastModifiedBy>曾淑清</cp:lastModifiedBy>
  <dcterms:modified xsi:type="dcterms:W3CDTF">2024-11-05T03:03:04Z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EC8D5ED1DACE41109CC90C748CC85277_11</vt:lpwstr>
  </property>
</Properties>
</file>